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4DC" w:rsidRPr="00C60304" w:rsidRDefault="006D74DC" w:rsidP="00FA4C59">
      <w:pPr>
        <w:spacing w:after="200" w:line="276" w:lineRule="auto"/>
        <w:rPr>
          <w:rFonts w:ascii="Palatino Linotype" w:hAnsi="Palatino Linotype"/>
          <w:b/>
          <w:i/>
          <w:sz w:val="20"/>
          <w:szCs w:val="20"/>
        </w:rPr>
      </w:pPr>
      <w:r w:rsidRPr="00C60304">
        <w:rPr>
          <w:rFonts w:ascii="Palatino Linotype" w:hAnsi="Palatino Linotype"/>
          <w:b/>
          <w:i/>
          <w:sz w:val="20"/>
          <w:szCs w:val="20"/>
        </w:rPr>
        <w:t xml:space="preserve">NORMA DE APLICACIÓN </w:t>
      </w:r>
      <w:r w:rsidR="00C60304">
        <w:rPr>
          <w:rFonts w:ascii="Palatino Linotype" w:hAnsi="Palatino Linotype"/>
          <w:b/>
          <w:i/>
          <w:sz w:val="20"/>
          <w:szCs w:val="20"/>
        </w:rPr>
        <w:t xml:space="preserve"> </w:t>
      </w:r>
      <w:r w:rsidRPr="00C60304">
        <w:rPr>
          <w:rFonts w:ascii="Palatino Linotype" w:hAnsi="Palatino Linotype"/>
          <w:b/>
          <w:i/>
          <w:sz w:val="20"/>
          <w:szCs w:val="20"/>
        </w:rPr>
        <w:t>N°</w:t>
      </w:r>
      <w:r w:rsidR="008420C4">
        <w:rPr>
          <w:rFonts w:ascii="Palatino Linotype" w:hAnsi="Palatino Linotype"/>
          <w:b/>
          <w:i/>
          <w:sz w:val="20"/>
          <w:szCs w:val="20"/>
        </w:rPr>
        <w:t xml:space="preserve"> 97</w:t>
      </w:r>
    </w:p>
    <w:p w:rsidR="00C60304" w:rsidRPr="00C3434F" w:rsidRDefault="00C60304" w:rsidP="006D74DC">
      <w:pPr>
        <w:pStyle w:val="Prrafodelista"/>
        <w:ind w:left="0"/>
        <w:rPr>
          <w:b/>
          <w:i/>
        </w:rPr>
      </w:pPr>
    </w:p>
    <w:p w:rsidR="006D74DC" w:rsidRPr="00C3434F" w:rsidRDefault="006D74DC" w:rsidP="006D74DC">
      <w:pPr>
        <w:pStyle w:val="Prrafodelista"/>
        <w:ind w:left="0"/>
        <w:rPr>
          <w:b/>
          <w:i/>
        </w:rPr>
      </w:pPr>
    </w:p>
    <w:p w:rsidR="006D74DC" w:rsidRPr="003F503A" w:rsidRDefault="006D74DC" w:rsidP="00C60304">
      <w:pPr>
        <w:pStyle w:val="Prrafodelista"/>
        <w:tabs>
          <w:tab w:val="left" w:pos="4111"/>
        </w:tabs>
        <w:ind w:left="4536" w:hanging="425"/>
        <w:jc w:val="both"/>
        <w:rPr>
          <w:rFonts w:ascii="Palatino Linotype" w:hAnsi="Palatino Linotype"/>
          <w:i/>
          <w:sz w:val="20"/>
          <w:szCs w:val="20"/>
        </w:rPr>
      </w:pPr>
      <w:r w:rsidRPr="00C3434F">
        <w:rPr>
          <w:b/>
          <w:i/>
        </w:rPr>
        <w:t xml:space="preserve"> </w:t>
      </w:r>
      <w:r w:rsidRPr="00387368">
        <w:rPr>
          <w:rFonts w:ascii="Palatino Linotype" w:hAnsi="Palatino Linotype"/>
          <w:b/>
          <w:i/>
          <w:sz w:val="20"/>
          <w:szCs w:val="20"/>
          <w:u w:val="single"/>
        </w:rPr>
        <w:t>Ref</w:t>
      </w:r>
      <w:r w:rsidRPr="00387368">
        <w:rPr>
          <w:rFonts w:ascii="Palatino Linotype" w:hAnsi="Palatino Linotype"/>
          <w:i/>
          <w:sz w:val="20"/>
          <w:szCs w:val="20"/>
        </w:rPr>
        <w:t xml:space="preserve">: </w:t>
      </w:r>
      <w:r>
        <w:rPr>
          <w:rFonts w:ascii="Palatino Linotype" w:hAnsi="Palatino Linotype"/>
          <w:i/>
          <w:sz w:val="20"/>
          <w:szCs w:val="20"/>
        </w:rPr>
        <w:t xml:space="preserve">Unidad de Medida. </w:t>
      </w:r>
      <w:r w:rsidRPr="00387368">
        <w:rPr>
          <w:rFonts w:ascii="Palatino Linotype" w:hAnsi="Palatino Linotype"/>
          <w:i/>
          <w:sz w:val="20"/>
          <w:szCs w:val="20"/>
        </w:rPr>
        <w:t>Resolución</w:t>
      </w:r>
      <w:r w:rsidR="00C60304">
        <w:rPr>
          <w:rFonts w:ascii="Palatino Linotype" w:hAnsi="Palatino Linotype"/>
          <w:i/>
          <w:sz w:val="20"/>
          <w:szCs w:val="20"/>
        </w:rPr>
        <w:t xml:space="preserve"> Técnica N° </w:t>
      </w:r>
      <w:r w:rsidRPr="00387368">
        <w:rPr>
          <w:rFonts w:ascii="Palatino Linotype" w:hAnsi="Palatino Linotype"/>
          <w:i/>
          <w:sz w:val="20"/>
          <w:szCs w:val="20"/>
        </w:rPr>
        <w:t xml:space="preserve">39 e Interpretación </w:t>
      </w:r>
      <w:r w:rsidR="00BB23ED">
        <w:rPr>
          <w:rFonts w:ascii="Palatino Linotype" w:hAnsi="Palatino Linotype"/>
          <w:i/>
          <w:sz w:val="20"/>
          <w:szCs w:val="20"/>
        </w:rPr>
        <w:t xml:space="preserve">N° </w:t>
      </w:r>
      <w:r w:rsidR="00BB23ED" w:rsidRPr="003F503A">
        <w:rPr>
          <w:rFonts w:ascii="Palatino Linotype" w:hAnsi="Palatino Linotype"/>
          <w:i/>
          <w:sz w:val="20"/>
          <w:szCs w:val="20"/>
        </w:rPr>
        <w:t>8</w:t>
      </w:r>
      <w:r w:rsidR="00BB23ED">
        <w:rPr>
          <w:rFonts w:ascii="Palatino Linotype" w:hAnsi="Palatino Linotype"/>
          <w:i/>
          <w:sz w:val="20"/>
          <w:szCs w:val="20"/>
        </w:rPr>
        <w:t xml:space="preserve"> </w:t>
      </w:r>
      <w:r w:rsidRPr="00387368">
        <w:rPr>
          <w:rFonts w:ascii="Palatino Linotype" w:hAnsi="Palatino Linotype"/>
          <w:i/>
          <w:sz w:val="20"/>
          <w:szCs w:val="20"/>
        </w:rPr>
        <w:t xml:space="preserve">de </w:t>
      </w:r>
      <w:r w:rsidR="00C60304">
        <w:rPr>
          <w:rFonts w:ascii="Palatino Linotype" w:hAnsi="Palatino Linotype"/>
          <w:i/>
          <w:sz w:val="20"/>
          <w:szCs w:val="20"/>
        </w:rPr>
        <w:t>Normas Profesionales</w:t>
      </w:r>
      <w:r>
        <w:rPr>
          <w:rFonts w:ascii="Palatino Linotype" w:hAnsi="Palatino Linotype"/>
          <w:i/>
          <w:sz w:val="20"/>
          <w:szCs w:val="20"/>
        </w:rPr>
        <w:t xml:space="preserve">– Resolución </w:t>
      </w:r>
      <w:r w:rsidR="00C60304">
        <w:rPr>
          <w:rFonts w:ascii="Palatino Linotype" w:hAnsi="Palatino Linotype"/>
          <w:i/>
          <w:sz w:val="20"/>
          <w:szCs w:val="20"/>
        </w:rPr>
        <w:t xml:space="preserve">Técnica N° 41, 2da. </w:t>
      </w:r>
      <w:r w:rsidR="00BB23ED">
        <w:rPr>
          <w:rFonts w:ascii="Palatino Linotype" w:hAnsi="Palatino Linotype"/>
          <w:i/>
          <w:sz w:val="20"/>
          <w:szCs w:val="20"/>
        </w:rPr>
        <w:t xml:space="preserve">o 3ra. </w:t>
      </w:r>
      <w:r w:rsidR="00C60304">
        <w:rPr>
          <w:rFonts w:ascii="Palatino Linotype" w:hAnsi="Palatino Linotype"/>
          <w:i/>
          <w:sz w:val="20"/>
          <w:szCs w:val="20"/>
        </w:rPr>
        <w:t xml:space="preserve">Parte. Pto, </w:t>
      </w:r>
      <w:r>
        <w:rPr>
          <w:rFonts w:ascii="Palatino Linotype" w:hAnsi="Palatino Linotype"/>
          <w:i/>
          <w:sz w:val="20"/>
          <w:szCs w:val="20"/>
        </w:rPr>
        <w:t>2.6.</w:t>
      </w:r>
      <w:r w:rsidRPr="003F503A">
        <w:rPr>
          <w:rFonts w:ascii="Palatino Linotype" w:hAnsi="Palatino Linotype"/>
          <w:i/>
          <w:sz w:val="20"/>
          <w:szCs w:val="20"/>
        </w:rPr>
        <w:t xml:space="preserve"> Aplicación.</w:t>
      </w:r>
    </w:p>
    <w:p w:rsidR="006D74DC" w:rsidRPr="00387368" w:rsidRDefault="006D74DC" w:rsidP="006D74DC">
      <w:pPr>
        <w:pStyle w:val="Prrafodelista"/>
        <w:ind w:left="4111" w:hanging="4111"/>
        <w:rPr>
          <w:rFonts w:ascii="Palatino Linotype" w:hAnsi="Palatino Linotype"/>
          <w:sz w:val="20"/>
          <w:szCs w:val="20"/>
        </w:rPr>
      </w:pPr>
    </w:p>
    <w:p w:rsidR="004B1287" w:rsidRDefault="004B1287" w:rsidP="006D74DC">
      <w:pPr>
        <w:pStyle w:val="Prrafodelista"/>
        <w:ind w:left="0"/>
        <w:jc w:val="both"/>
        <w:rPr>
          <w:rFonts w:ascii="Palatino Linotype" w:hAnsi="Palatino Linotype" w:cs="Arial"/>
          <w:i/>
          <w:color w:val="222222"/>
          <w:sz w:val="20"/>
          <w:szCs w:val="20"/>
          <w:shd w:val="clear" w:color="auto" w:fill="FFFFFF"/>
        </w:rPr>
      </w:pPr>
    </w:p>
    <w:p w:rsidR="004B1287" w:rsidRDefault="004B1287" w:rsidP="004B1287">
      <w:pPr>
        <w:jc w:val="both"/>
        <w:rPr>
          <w:rFonts w:ascii="Palatino Linotype" w:hAnsi="Palatino Linotype"/>
          <w:i/>
          <w:sz w:val="20"/>
          <w:szCs w:val="20"/>
          <w:lang w:val="es-MX"/>
        </w:rPr>
      </w:pPr>
      <w:r w:rsidRPr="00C60304">
        <w:rPr>
          <w:rFonts w:ascii="Palatino Linotype" w:hAnsi="Palatino Linotype"/>
          <w:i/>
          <w:sz w:val="20"/>
          <w:szCs w:val="20"/>
          <w:lang w:val="es-MX"/>
        </w:rPr>
        <w:t>A partir de la Resolución Técnica N° 39, aprobada por Resolución CD N° 3519 del Consejo Profesional de Ciencias Económicas de la Provincia de Buenos Aires con fecha 20 de diciembre de 2013, y  de su normativa técnica complementaria</w:t>
      </w:r>
      <w:r>
        <w:rPr>
          <w:rFonts w:ascii="Palatino Linotype" w:hAnsi="Palatino Linotype"/>
          <w:i/>
          <w:sz w:val="20"/>
          <w:szCs w:val="20"/>
          <w:lang w:val="es-MX"/>
        </w:rPr>
        <w:t xml:space="preserve">, </w:t>
      </w:r>
      <w:r w:rsidR="00B73D12">
        <w:rPr>
          <w:rFonts w:ascii="Palatino Linotype" w:hAnsi="Palatino Linotype"/>
          <w:i/>
          <w:sz w:val="20"/>
          <w:szCs w:val="20"/>
          <w:lang w:val="es-MX"/>
        </w:rPr>
        <w:t xml:space="preserve">actualmente </w:t>
      </w:r>
      <w:r>
        <w:rPr>
          <w:rFonts w:ascii="Palatino Linotype" w:hAnsi="Palatino Linotype"/>
          <w:i/>
          <w:sz w:val="20"/>
          <w:szCs w:val="20"/>
          <w:lang w:val="es-MX"/>
        </w:rPr>
        <w:t>la Interpretación N° 8 de Normas Profesionales</w:t>
      </w:r>
      <w:r w:rsidRPr="00C60304">
        <w:rPr>
          <w:rFonts w:ascii="Palatino Linotype" w:hAnsi="Palatino Linotype"/>
          <w:i/>
          <w:sz w:val="20"/>
          <w:szCs w:val="20"/>
          <w:lang w:val="es-MX"/>
        </w:rPr>
        <w:t>,  la necesidad de reexpresar los estados contables para reflejar los cambios en el poder adquisitivo de la moneda viene indicada por la existencia o no de un contexto de inflación tal que lleve a calificar a la economía de altamente inflacionaria.  La Resolucion Técnica N° 41 establece  en esencia idéntico criterio.</w:t>
      </w:r>
    </w:p>
    <w:p w:rsidR="004B1287" w:rsidRDefault="004B1287" w:rsidP="004B1287">
      <w:pPr>
        <w:jc w:val="both"/>
        <w:rPr>
          <w:rFonts w:ascii="Palatino Linotype" w:hAnsi="Palatino Linotype"/>
          <w:i/>
          <w:sz w:val="20"/>
          <w:szCs w:val="20"/>
          <w:lang w:val="es-MX"/>
        </w:rPr>
      </w:pPr>
    </w:p>
    <w:p w:rsidR="004B1287" w:rsidRPr="00C60304" w:rsidRDefault="004B1287" w:rsidP="004B1287">
      <w:pPr>
        <w:jc w:val="both"/>
        <w:rPr>
          <w:rFonts w:ascii="Palatino Linotype" w:hAnsi="Palatino Linotype"/>
          <w:i/>
          <w:sz w:val="20"/>
          <w:szCs w:val="20"/>
          <w:lang w:val="es-MX"/>
        </w:rPr>
      </w:pPr>
      <w:r>
        <w:rPr>
          <w:rFonts w:ascii="Palatino Linotype" w:hAnsi="Palatino Linotype"/>
          <w:i/>
          <w:sz w:val="20"/>
          <w:szCs w:val="20"/>
          <w:lang w:val="es-MX"/>
        </w:rPr>
        <w:t>Tanto en el caso de las Normas Contables Profesionales de Reconocimiento y Medición para Entes Pequeños y Medianos contenidas en la Resolución Técnica N° 41, Segunda o Tercera, respectivamente, como en el caso de que se aplique como Norma Contable General de Reconocimiento y Medición la Resolución Técnica N° 17, con las modificaciones introducidas por la Resolución Técnica N° 39 junto con la citada Interpretación N° 8 de Normas Profesionales, a</w:t>
      </w:r>
      <w:r w:rsidRPr="00C60304">
        <w:rPr>
          <w:rFonts w:ascii="Palatino Linotype" w:hAnsi="Palatino Linotype"/>
          <w:i/>
          <w:sz w:val="20"/>
          <w:szCs w:val="20"/>
          <w:lang w:val="es-MX"/>
        </w:rPr>
        <w:t xml:space="preserve"> los fines de identificar la existencia de un entorno económico con tales características, </w:t>
      </w:r>
      <w:r>
        <w:rPr>
          <w:rFonts w:ascii="Palatino Linotype" w:hAnsi="Palatino Linotype"/>
          <w:i/>
          <w:sz w:val="20"/>
          <w:szCs w:val="20"/>
          <w:lang w:val="es-MX"/>
        </w:rPr>
        <w:t>debe alcanzarse</w:t>
      </w:r>
      <w:r w:rsidRPr="00C60304">
        <w:rPr>
          <w:rFonts w:ascii="Palatino Linotype" w:hAnsi="Palatino Linotype"/>
          <w:i/>
          <w:sz w:val="20"/>
          <w:szCs w:val="20"/>
          <w:lang w:val="es-MX"/>
        </w:rPr>
        <w:t xml:space="preserve"> una pauta cuantitativa que es condición necesaria para proceder a reexpresar las cifras de los estados contables, dicha pauta consiste en que la tasa acumulada de inflación en tres años, considerando el Índice de Precios Internos al por Mayor elaborado por el Instituto Nacional de Estadísticas y Censos (INDEC), alcance o sobrepase el 100%.</w:t>
      </w:r>
    </w:p>
    <w:p w:rsidR="004B1287" w:rsidRDefault="004B1287" w:rsidP="006D74DC">
      <w:pPr>
        <w:pStyle w:val="Prrafodelista"/>
        <w:ind w:left="0"/>
        <w:jc w:val="both"/>
        <w:rPr>
          <w:rFonts w:ascii="Palatino Linotype" w:hAnsi="Palatino Linotype" w:cs="Arial"/>
          <w:i/>
          <w:color w:val="222222"/>
          <w:sz w:val="20"/>
          <w:szCs w:val="20"/>
          <w:shd w:val="clear" w:color="auto" w:fill="FFFFFF"/>
        </w:rPr>
      </w:pPr>
    </w:p>
    <w:p w:rsidR="006D74DC" w:rsidRDefault="006D74DC" w:rsidP="006D74DC">
      <w:pPr>
        <w:pStyle w:val="Prrafodelista"/>
        <w:ind w:left="0"/>
        <w:jc w:val="both"/>
        <w:rPr>
          <w:rFonts w:ascii="Palatino Linotype" w:hAnsi="Palatino Linotype" w:cs="Arial"/>
          <w:i/>
          <w:color w:val="222222"/>
          <w:sz w:val="20"/>
          <w:szCs w:val="20"/>
          <w:shd w:val="clear" w:color="auto" w:fill="FFFFFF"/>
        </w:rPr>
      </w:pPr>
      <w:r w:rsidRPr="00387368">
        <w:rPr>
          <w:rFonts w:ascii="Palatino Linotype" w:hAnsi="Palatino Linotype" w:cs="Arial"/>
          <w:i/>
          <w:color w:val="222222"/>
          <w:sz w:val="20"/>
          <w:szCs w:val="20"/>
          <w:shd w:val="clear" w:color="auto" w:fill="FFFFFF"/>
        </w:rPr>
        <w:t xml:space="preserve">Ante consultas recibidas de matriculados planteando incertidumbre  respecto de la cuestión de la reexpresión de las cifras de los estados contables para reflejar la pérdida de poder adquisitivo de la moneda, se aclara que, si bien a la fecha se encuentra en análisis </w:t>
      </w:r>
      <w:r>
        <w:rPr>
          <w:rFonts w:ascii="Palatino Linotype" w:hAnsi="Palatino Linotype" w:cs="Arial"/>
          <w:i/>
          <w:color w:val="222222"/>
          <w:sz w:val="20"/>
          <w:szCs w:val="20"/>
          <w:shd w:val="clear" w:color="auto" w:fill="FFFFFF"/>
        </w:rPr>
        <w:t>tal problemática</w:t>
      </w:r>
      <w:r w:rsidRPr="00387368">
        <w:rPr>
          <w:rFonts w:ascii="Palatino Linotype" w:hAnsi="Palatino Linotype" w:cs="Arial"/>
          <w:i/>
          <w:color w:val="222222"/>
          <w:sz w:val="20"/>
          <w:szCs w:val="20"/>
          <w:shd w:val="clear" w:color="auto" w:fill="FFFFFF"/>
        </w:rPr>
        <w:t xml:space="preserve">, en tanto se evalúan distintos aspectos  que conciernen a la </w:t>
      </w:r>
      <w:r>
        <w:rPr>
          <w:rFonts w:ascii="Palatino Linotype" w:hAnsi="Palatino Linotype" w:cs="Arial"/>
          <w:i/>
          <w:color w:val="222222"/>
          <w:sz w:val="20"/>
          <w:szCs w:val="20"/>
          <w:shd w:val="clear" w:color="auto" w:fill="FFFFFF"/>
        </w:rPr>
        <w:t>misma</w:t>
      </w:r>
      <w:r w:rsidRPr="00387368">
        <w:rPr>
          <w:rFonts w:ascii="Palatino Linotype" w:hAnsi="Palatino Linotype" w:cs="Arial"/>
          <w:i/>
          <w:color w:val="222222"/>
          <w:sz w:val="20"/>
          <w:szCs w:val="20"/>
          <w:shd w:val="clear" w:color="auto" w:fill="FFFFFF"/>
        </w:rPr>
        <w:t>, se mantienen en vigencia las normas contables profesionales sobre la materia actualmente en vigor en la jurisdicción, por lo que el índice de precios a utilizar para determinar si se ha alcanzado el parámetro cuantitativo que requiere una inflación trienal que alcance o sobrepase el 100% es el IPIM emitido por el INDEC, considerando en el cálculo que para los meses de noviembre y diciembre de 2015 no se tienen datos publicados por ese Instituto.</w:t>
      </w:r>
    </w:p>
    <w:p w:rsidR="0084497A" w:rsidRDefault="0084497A" w:rsidP="006D74DC">
      <w:pPr>
        <w:pStyle w:val="Prrafodelista"/>
        <w:ind w:left="0"/>
        <w:jc w:val="both"/>
        <w:rPr>
          <w:rFonts w:ascii="Palatino Linotype" w:hAnsi="Palatino Linotype" w:cs="Arial"/>
          <w:i/>
          <w:color w:val="222222"/>
          <w:sz w:val="20"/>
          <w:szCs w:val="20"/>
          <w:shd w:val="clear" w:color="auto" w:fill="FFFFFF"/>
        </w:rPr>
      </w:pPr>
    </w:p>
    <w:p w:rsidR="0084497A" w:rsidRDefault="0084497A" w:rsidP="006D74DC">
      <w:pPr>
        <w:pStyle w:val="Prrafodelista"/>
        <w:ind w:left="0"/>
        <w:jc w:val="both"/>
        <w:rPr>
          <w:rFonts w:ascii="Palatino Linotype" w:hAnsi="Palatino Linotype" w:cs="Arial"/>
          <w:i/>
          <w:color w:val="222222"/>
          <w:sz w:val="20"/>
          <w:szCs w:val="20"/>
          <w:shd w:val="clear" w:color="auto" w:fill="FFFFFF"/>
        </w:rPr>
      </w:pPr>
      <w:r>
        <w:rPr>
          <w:rFonts w:ascii="Palatino Linotype" w:hAnsi="Palatino Linotype" w:cs="Arial"/>
          <w:i/>
          <w:color w:val="222222"/>
          <w:sz w:val="20"/>
          <w:szCs w:val="20"/>
          <w:shd w:val="clear" w:color="auto" w:fill="FFFFFF"/>
        </w:rPr>
        <w:t>Al sólo efecto ilustrativo se presenta en la siguiente</w:t>
      </w:r>
      <w:r w:rsidR="00B73D12">
        <w:rPr>
          <w:rFonts w:ascii="Palatino Linotype" w:hAnsi="Palatino Linotype" w:cs="Arial"/>
          <w:i/>
          <w:color w:val="222222"/>
          <w:sz w:val="20"/>
          <w:szCs w:val="20"/>
          <w:shd w:val="clear" w:color="auto" w:fill="FFFFFF"/>
        </w:rPr>
        <w:t xml:space="preserve"> tabla</w:t>
      </w:r>
      <w:r>
        <w:rPr>
          <w:rFonts w:ascii="Palatino Linotype" w:hAnsi="Palatino Linotype" w:cs="Arial"/>
          <w:i/>
          <w:color w:val="222222"/>
          <w:sz w:val="20"/>
          <w:szCs w:val="20"/>
          <w:shd w:val="clear" w:color="auto" w:fill="FFFFFF"/>
        </w:rPr>
        <w:t xml:space="preserve"> la evolución trienal de IPIM calculado con la metodología mencionada</w:t>
      </w:r>
      <w:r w:rsidR="000671DA">
        <w:rPr>
          <w:rFonts w:ascii="Palatino Linotype" w:hAnsi="Palatino Linotype" w:cs="Arial"/>
          <w:i/>
          <w:color w:val="222222"/>
          <w:sz w:val="20"/>
          <w:szCs w:val="20"/>
          <w:shd w:val="clear" w:color="auto" w:fill="FFFFFF"/>
        </w:rPr>
        <w:t xml:space="preserve"> en el párrafo que antecede</w:t>
      </w:r>
      <w:r>
        <w:rPr>
          <w:rFonts w:ascii="Palatino Linotype" w:hAnsi="Palatino Linotype" w:cs="Arial"/>
          <w:i/>
          <w:color w:val="222222"/>
          <w:sz w:val="20"/>
          <w:szCs w:val="20"/>
          <w:shd w:val="clear" w:color="auto" w:fill="FFFFFF"/>
        </w:rPr>
        <w:t xml:space="preserve"> </w:t>
      </w:r>
      <w:r w:rsidR="00186AD6">
        <w:rPr>
          <w:rFonts w:ascii="Palatino Linotype" w:hAnsi="Palatino Linotype" w:cs="Arial"/>
          <w:i/>
          <w:color w:val="222222"/>
          <w:sz w:val="20"/>
          <w:szCs w:val="20"/>
          <w:shd w:val="clear" w:color="auto" w:fill="FFFFFF"/>
        </w:rPr>
        <w:t>desde el</w:t>
      </w:r>
      <w:r>
        <w:rPr>
          <w:rFonts w:ascii="Palatino Linotype" w:hAnsi="Palatino Linotype" w:cs="Arial"/>
          <w:i/>
          <w:color w:val="222222"/>
          <w:sz w:val="20"/>
          <w:szCs w:val="20"/>
          <w:shd w:val="clear" w:color="auto" w:fill="FFFFFF"/>
        </w:rPr>
        <w:t xml:space="preserve"> </w:t>
      </w:r>
      <w:r w:rsidR="00B73D12">
        <w:rPr>
          <w:rFonts w:ascii="Palatino Linotype" w:hAnsi="Palatino Linotype" w:cs="Arial"/>
          <w:i/>
          <w:color w:val="222222"/>
          <w:sz w:val="20"/>
          <w:szCs w:val="20"/>
          <w:shd w:val="clear" w:color="auto" w:fill="FFFFFF"/>
        </w:rPr>
        <w:t xml:space="preserve">mes de </w:t>
      </w:r>
      <w:r w:rsidR="00186AD6">
        <w:rPr>
          <w:rFonts w:ascii="Palatino Linotype" w:hAnsi="Palatino Linotype" w:cs="Arial"/>
          <w:i/>
          <w:color w:val="222222"/>
          <w:sz w:val="20"/>
          <w:szCs w:val="20"/>
          <w:shd w:val="clear" w:color="auto" w:fill="FFFFFF"/>
        </w:rPr>
        <w:t>marzo</w:t>
      </w:r>
      <w:r>
        <w:rPr>
          <w:rFonts w:ascii="Palatino Linotype" w:hAnsi="Palatino Linotype" w:cs="Arial"/>
          <w:i/>
          <w:color w:val="222222"/>
          <w:sz w:val="20"/>
          <w:szCs w:val="20"/>
          <w:shd w:val="clear" w:color="auto" w:fill="FFFFFF"/>
        </w:rPr>
        <w:t xml:space="preserve"> hasta el mes de julio de 2016:</w:t>
      </w:r>
    </w:p>
    <w:p w:rsidR="0084497A" w:rsidRDefault="0084497A" w:rsidP="006D74DC">
      <w:pPr>
        <w:pStyle w:val="Prrafodelista"/>
        <w:ind w:left="0"/>
        <w:jc w:val="both"/>
        <w:rPr>
          <w:rFonts w:ascii="Palatino Linotype" w:hAnsi="Palatino Linotype" w:cs="Arial"/>
          <w:i/>
          <w:color w:val="222222"/>
          <w:sz w:val="20"/>
          <w:szCs w:val="20"/>
          <w:shd w:val="clear" w:color="auto" w:fill="FFFFFF"/>
        </w:rPr>
      </w:pPr>
    </w:p>
    <w:tbl>
      <w:tblPr>
        <w:tblW w:w="4958" w:type="dxa"/>
        <w:tblInd w:w="1369" w:type="dxa"/>
        <w:tblCellMar>
          <w:left w:w="70" w:type="dxa"/>
          <w:right w:w="70" w:type="dxa"/>
        </w:tblCellMar>
        <w:tblLook w:val="04A0"/>
      </w:tblPr>
      <w:tblGrid>
        <w:gridCol w:w="3838"/>
        <w:gridCol w:w="1120"/>
      </w:tblGrid>
      <w:tr w:rsidR="00186AD6" w:rsidRPr="00186AD6" w:rsidTr="00186AD6">
        <w:trPr>
          <w:trHeight w:val="255"/>
        </w:trPr>
        <w:tc>
          <w:tcPr>
            <w:tcW w:w="3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AD6" w:rsidRPr="00186AD6" w:rsidRDefault="00186AD6" w:rsidP="00186AD6">
            <w:pPr>
              <w:rPr>
                <w:rFonts w:ascii="Arial" w:hAnsi="Arial" w:cs="Arial"/>
                <w:sz w:val="20"/>
                <w:szCs w:val="20"/>
                <w:lang w:val="es-AR" w:eastAsia="es-AR"/>
              </w:rPr>
            </w:pPr>
            <w:r w:rsidRPr="00186AD6">
              <w:rPr>
                <w:rFonts w:ascii="Arial" w:hAnsi="Arial" w:cs="Arial"/>
                <w:sz w:val="20"/>
                <w:szCs w:val="20"/>
                <w:lang w:val="es-AR" w:eastAsia="es-AR"/>
              </w:rPr>
              <w:t>Variación Trienal IPIM a Marzo/16:</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186AD6" w:rsidRPr="00186AD6" w:rsidRDefault="00186AD6" w:rsidP="00186AD6">
            <w:pPr>
              <w:jc w:val="right"/>
              <w:rPr>
                <w:rFonts w:ascii="Arial" w:hAnsi="Arial" w:cs="Arial"/>
                <w:sz w:val="20"/>
                <w:szCs w:val="20"/>
                <w:lang w:val="es-AR" w:eastAsia="es-AR"/>
              </w:rPr>
            </w:pPr>
            <w:r w:rsidRPr="00186AD6">
              <w:rPr>
                <w:rFonts w:ascii="Arial" w:hAnsi="Arial" w:cs="Arial"/>
                <w:sz w:val="20"/>
                <w:szCs w:val="20"/>
                <w:lang w:val="es-AR" w:eastAsia="es-AR"/>
              </w:rPr>
              <w:t>85,01%</w:t>
            </w:r>
          </w:p>
        </w:tc>
      </w:tr>
      <w:tr w:rsidR="00186AD6" w:rsidRPr="00186AD6" w:rsidTr="00F45A1B">
        <w:trPr>
          <w:trHeight w:val="255"/>
        </w:trPr>
        <w:tc>
          <w:tcPr>
            <w:tcW w:w="3838" w:type="dxa"/>
            <w:tcBorders>
              <w:top w:val="nil"/>
              <w:left w:val="single" w:sz="4" w:space="0" w:color="auto"/>
              <w:bottom w:val="single" w:sz="4" w:space="0" w:color="auto"/>
              <w:right w:val="single" w:sz="4" w:space="0" w:color="auto"/>
            </w:tcBorders>
            <w:shd w:val="clear" w:color="auto" w:fill="auto"/>
            <w:noWrap/>
            <w:vAlign w:val="bottom"/>
            <w:hideMark/>
          </w:tcPr>
          <w:p w:rsidR="00186AD6" w:rsidRPr="00186AD6" w:rsidRDefault="00186AD6" w:rsidP="00186AD6">
            <w:pPr>
              <w:rPr>
                <w:rFonts w:ascii="Arial" w:hAnsi="Arial" w:cs="Arial"/>
                <w:sz w:val="20"/>
                <w:szCs w:val="20"/>
                <w:lang w:val="es-AR" w:eastAsia="es-AR"/>
              </w:rPr>
            </w:pPr>
            <w:r w:rsidRPr="00186AD6">
              <w:rPr>
                <w:rFonts w:ascii="Arial" w:hAnsi="Arial" w:cs="Arial"/>
                <w:sz w:val="20"/>
                <w:szCs w:val="20"/>
                <w:lang w:val="es-AR" w:eastAsia="es-AR"/>
              </w:rPr>
              <w:t>Variación Trienal IPIM a Abril/16:</w:t>
            </w:r>
          </w:p>
        </w:tc>
        <w:tc>
          <w:tcPr>
            <w:tcW w:w="1120" w:type="dxa"/>
            <w:tcBorders>
              <w:top w:val="nil"/>
              <w:left w:val="nil"/>
              <w:bottom w:val="single" w:sz="4" w:space="0" w:color="auto"/>
              <w:right w:val="single" w:sz="4" w:space="0" w:color="auto"/>
            </w:tcBorders>
            <w:shd w:val="clear" w:color="auto" w:fill="auto"/>
            <w:noWrap/>
            <w:vAlign w:val="bottom"/>
            <w:hideMark/>
          </w:tcPr>
          <w:p w:rsidR="00186AD6" w:rsidRPr="00186AD6" w:rsidRDefault="00186AD6" w:rsidP="00186AD6">
            <w:pPr>
              <w:jc w:val="right"/>
              <w:rPr>
                <w:rFonts w:ascii="Arial" w:hAnsi="Arial" w:cs="Arial"/>
                <w:sz w:val="20"/>
                <w:szCs w:val="20"/>
                <w:lang w:val="es-AR" w:eastAsia="es-AR"/>
              </w:rPr>
            </w:pPr>
            <w:r w:rsidRPr="00186AD6">
              <w:rPr>
                <w:rFonts w:ascii="Arial" w:hAnsi="Arial" w:cs="Arial"/>
                <w:sz w:val="20"/>
                <w:szCs w:val="20"/>
                <w:lang w:val="es-AR" w:eastAsia="es-AR"/>
              </w:rPr>
              <w:t>86,00%</w:t>
            </w:r>
          </w:p>
        </w:tc>
      </w:tr>
      <w:tr w:rsidR="00186AD6" w:rsidRPr="00186AD6" w:rsidTr="00F45A1B">
        <w:trPr>
          <w:trHeight w:val="255"/>
        </w:trPr>
        <w:tc>
          <w:tcPr>
            <w:tcW w:w="3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AD6" w:rsidRPr="00186AD6" w:rsidRDefault="00186AD6" w:rsidP="00186AD6">
            <w:pPr>
              <w:rPr>
                <w:rFonts w:ascii="Arial" w:hAnsi="Arial" w:cs="Arial"/>
                <w:sz w:val="20"/>
                <w:szCs w:val="20"/>
                <w:lang w:val="es-AR" w:eastAsia="es-AR"/>
              </w:rPr>
            </w:pPr>
            <w:r w:rsidRPr="00186AD6">
              <w:rPr>
                <w:rFonts w:ascii="Arial" w:hAnsi="Arial" w:cs="Arial"/>
                <w:sz w:val="20"/>
                <w:szCs w:val="20"/>
                <w:lang w:val="es-AR" w:eastAsia="es-AR"/>
              </w:rPr>
              <w:lastRenderedPageBreak/>
              <w:t>Variación Trienal IPIM a Mayo/16: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AD6" w:rsidRPr="00186AD6" w:rsidRDefault="00186AD6" w:rsidP="00186AD6">
            <w:pPr>
              <w:jc w:val="right"/>
              <w:rPr>
                <w:rFonts w:ascii="Arial" w:hAnsi="Arial" w:cs="Arial"/>
                <w:sz w:val="20"/>
                <w:szCs w:val="20"/>
                <w:lang w:val="es-AR" w:eastAsia="es-AR"/>
              </w:rPr>
            </w:pPr>
            <w:r w:rsidRPr="00186AD6">
              <w:rPr>
                <w:rFonts w:ascii="Arial" w:hAnsi="Arial" w:cs="Arial"/>
                <w:sz w:val="20"/>
                <w:szCs w:val="20"/>
                <w:lang w:val="es-AR" w:eastAsia="es-AR"/>
              </w:rPr>
              <w:t>90,30%</w:t>
            </w:r>
          </w:p>
        </w:tc>
      </w:tr>
      <w:tr w:rsidR="00186AD6" w:rsidRPr="00186AD6" w:rsidTr="00F45A1B">
        <w:trPr>
          <w:trHeight w:val="255"/>
        </w:trPr>
        <w:tc>
          <w:tcPr>
            <w:tcW w:w="3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AD6" w:rsidRPr="00186AD6" w:rsidRDefault="00186AD6" w:rsidP="00186AD6">
            <w:pPr>
              <w:rPr>
                <w:rFonts w:ascii="Arial" w:hAnsi="Arial" w:cs="Arial"/>
                <w:sz w:val="20"/>
                <w:szCs w:val="20"/>
                <w:lang w:val="es-AR" w:eastAsia="es-AR"/>
              </w:rPr>
            </w:pPr>
            <w:r w:rsidRPr="00186AD6">
              <w:rPr>
                <w:rFonts w:ascii="Arial" w:hAnsi="Arial" w:cs="Arial"/>
                <w:sz w:val="20"/>
                <w:szCs w:val="20"/>
                <w:lang w:val="es-AR" w:eastAsia="es-AR"/>
              </w:rPr>
              <w:t>Variación Trienal IPIM a Junio/16: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AD6" w:rsidRPr="00186AD6" w:rsidRDefault="00186AD6" w:rsidP="00186AD6">
            <w:pPr>
              <w:jc w:val="right"/>
              <w:rPr>
                <w:rFonts w:ascii="Arial" w:hAnsi="Arial" w:cs="Arial"/>
                <w:sz w:val="20"/>
                <w:szCs w:val="20"/>
                <w:lang w:val="es-AR" w:eastAsia="es-AR"/>
              </w:rPr>
            </w:pPr>
            <w:r w:rsidRPr="00186AD6">
              <w:rPr>
                <w:rFonts w:ascii="Arial" w:hAnsi="Arial" w:cs="Arial"/>
                <w:sz w:val="20"/>
                <w:szCs w:val="20"/>
                <w:lang w:val="es-AR" w:eastAsia="es-AR"/>
              </w:rPr>
              <w:t>93,22%</w:t>
            </w:r>
          </w:p>
        </w:tc>
      </w:tr>
      <w:tr w:rsidR="00186AD6" w:rsidRPr="00186AD6" w:rsidTr="00F45A1B">
        <w:trPr>
          <w:trHeight w:val="255"/>
        </w:trPr>
        <w:tc>
          <w:tcPr>
            <w:tcW w:w="3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AD6" w:rsidRPr="00186AD6" w:rsidRDefault="00186AD6" w:rsidP="00186AD6">
            <w:pPr>
              <w:rPr>
                <w:rFonts w:ascii="Arial" w:hAnsi="Arial" w:cs="Arial"/>
                <w:sz w:val="20"/>
                <w:szCs w:val="20"/>
                <w:lang w:val="es-AR" w:eastAsia="es-AR"/>
              </w:rPr>
            </w:pPr>
            <w:r w:rsidRPr="00186AD6">
              <w:rPr>
                <w:rFonts w:ascii="Arial" w:hAnsi="Arial" w:cs="Arial"/>
                <w:sz w:val="20"/>
                <w:szCs w:val="20"/>
                <w:lang w:val="es-AR" w:eastAsia="es-AR"/>
              </w:rPr>
              <w:t>Variación Trienal IPIM a Julio/16: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AD6" w:rsidRPr="00186AD6" w:rsidRDefault="00186AD6" w:rsidP="00186AD6">
            <w:pPr>
              <w:jc w:val="right"/>
              <w:rPr>
                <w:rFonts w:ascii="Arial" w:hAnsi="Arial" w:cs="Arial"/>
                <w:sz w:val="20"/>
                <w:szCs w:val="20"/>
                <w:lang w:val="es-AR" w:eastAsia="es-AR"/>
              </w:rPr>
            </w:pPr>
            <w:r w:rsidRPr="00186AD6">
              <w:rPr>
                <w:rFonts w:ascii="Arial" w:hAnsi="Arial" w:cs="Arial"/>
                <w:sz w:val="20"/>
                <w:szCs w:val="20"/>
                <w:lang w:val="es-AR" w:eastAsia="es-AR"/>
              </w:rPr>
              <w:t>96,22%</w:t>
            </w:r>
          </w:p>
        </w:tc>
      </w:tr>
    </w:tbl>
    <w:p w:rsidR="00186AD6" w:rsidRDefault="00186AD6" w:rsidP="006D74DC">
      <w:pPr>
        <w:pStyle w:val="Prrafodelista"/>
        <w:ind w:left="0"/>
        <w:jc w:val="both"/>
        <w:rPr>
          <w:rFonts w:ascii="Palatino Linotype" w:hAnsi="Palatino Linotype" w:cs="Arial"/>
          <w:i/>
          <w:color w:val="222222"/>
          <w:sz w:val="20"/>
          <w:szCs w:val="20"/>
          <w:shd w:val="clear" w:color="auto" w:fill="FFFFFF"/>
        </w:rPr>
      </w:pPr>
    </w:p>
    <w:p w:rsidR="0084497A" w:rsidRDefault="004E40B9" w:rsidP="006D74DC">
      <w:pPr>
        <w:pStyle w:val="Prrafodelista"/>
        <w:ind w:left="0"/>
        <w:jc w:val="both"/>
        <w:rPr>
          <w:rFonts w:ascii="Palatino Linotype" w:hAnsi="Palatino Linotype" w:cs="Arial"/>
          <w:i/>
          <w:color w:val="222222"/>
          <w:sz w:val="20"/>
          <w:szCs w:val="20"/>
          <w:shd w:val="clear" w:color="auto" w:fill="FFFFFF"/>
        </w:rPr>
      </w:pPr>
      <w:r>
        <w:rPr>
          <w:rFonts w:ascii="Palatino Linotype" w:hAnsi="Palatino Linotype" w:cs="Arial"/>
          <w:i/>
          <w:color w:val="222222"/>
          <w:sz w:val="20"/>
          <w:szCs w:val="20"/>
          <w:shd w:val="clear" w:color="auto" w:fill="FFFFFF"/>
        </w:rPr>
        <w:t>A</w:t>
      </w:r>
      <w:r w:rsidR="00186AD6">
        <w:rPr>
          <w:rFonts w:ascii="Palatino Linotype" w:hAnsi="Palatino Linotype" w:cs="Arial"/>
          <w:i/>
          <w:color w:val="222222"/>
          <w:sz w:val="20"/>
          <w:szCs w:val="20"/>
          <w:shd w:val="clear" w:color="auto" w:fill="FFFFFF"/>
        </w:rPr>
        <w:t xml:space="preserve"> la fecha de la emisión de la presente Norma de Aplicación no se ha alcanzado la referida pauta cuantitativa.</w:t>
      </w:r>
    </w:p>
    <w:p w:rsidR="006D74DC" w:rsidRDefault="006D74DC" w:rsidP="006D74DC">
      <w:pPr>
        <w:pStyle w:val="Prrafodelista"/>
        <w:ind w:left="0"/>
        <w:jc w:val="both"/>
        <w:rPr>
          <w:rFonts w:ascii="Palatino Linotype" w:hAnsi="Palatino Linotype" w:cs="Arial"/>
          <w:i/>
          <w:color w:val="222222"/>
          <w:sz w:val="20"/>
          <w:szCs w:val="20"/>
          <w:shd w:val="clear" w:color="auto" w:fill="FFFFFF"/>
        </w:rPr>
      </w:pPr>
    </w:p>
    <w:p w:rsidR="006D74DC" w:rsidRDefault="006D74DC" w:rsidP="006D74DC">
      <w:pPr>
        <w:pStyle w:val="Prrafodelista"/>
        <w:ind w:left="0"/>
        <w:jc w:val="both"/>
        <w:rPr>
          <w:rFonts w:ascii="Palatino Linotype" w:hAnsi="Palatino Linotype" w:cs="Arial"/>
          <w:i/>
          <w:color w:val="222222"/>
          <w:sz w:val="20"/>
          <w:szCs w:val="20"/>
          <w:shd w:val="clear" w:color="auto" w:fill="FFFFFF"/>
        </w:rPr>
      </w:pPr>
      <w:r>
        <w:rPr>
          <w:rFonts w:ascii="Palatino Linotype" w:hAnsi="Palatino Linotype" w:cs="Arial"/>
          <w:i/>
          <w:color w:val="222222"/>
          <w:sz w:val="20"/>
          <w:szCs w:val="20"/>
          <w:shd w:val="clear" w:color="auto" w:fill="FFFFFF"/>
        </w:rPr>
        <w:t xml:space="preserve">Se exponen  a continuación modelos de Nota a los Estados Contables adaptados a lo </w:t>
      </w:r>
      <w:r w:rsidR="000671DA">
        <w:rPr>
          <w:rFonts w:ascii="Palatino Linotype" w:hAnsi="Palatino Linotype" w:cs="Arial"/>
          <w:i/>
          <w:color w:val="222222"/>
          <w:sz w:val="20"/>
          <w:szCs w:val="20"/>
          <w:shd w:val="clear" w:color="auto" w:fill="FFFFFF"/>
        </w:rPr>
        <w:t>precedentemente expuesto.</w:t>
      </w:r>
    </w:p>
    <w:p w:rsidR="00C30ACD" w:rsidRDefault="00C30ACD" w:rsidP="00CD502B">
      <w:pPr>
        <w:jc w:val="both"/>
        <w:rPr>
          <w:rFonts w:ascii="Palatino Linotype" w:hAnsi="Palatino Linotype"/>
          <w:i/>
          <w:sz w:val="20"/>
          <w:szCs w:val="20"/>
        </w:rPr>
      </w:pPr>
    </w:p>
    <w:p w:rsidR="00A373ED" w:rsidRPr="00A373ED" w:rsidRDefault="00A373ED" w:rsidP="00A373ED">
      <w:pPr>
        <w:jc w:val="center"/>
        <w:rPr>
          <w:rFonts w:ascii="Palatino Linotype" w:hAnsi="Palatino Linotype"/>
          <w:b/>
          <w:i/>
          <w:sz w:val="20"/>
          <w:szCs w:val="20"/>
          <w:u w:val="single"/>
        </w:rPr>
      </w:pPr>
      <w:r w:rsidRPr="00A373ED">
        <w:rPr>
          <w:rFonts w:ascii="Palatino Linotype" w:hAnsi="Palatino Linotype"/>
          <w:b/>
          <w:i/>
          <w:sz w:val="20"/>
          <w:szCs w:val="20"/>
          <w:u w:val="single"/>
        </w:rPr>
        <w:t>Modelos para Entes que Aplican la Resolución Técnica N° 41</w:t>
      </w:r>
    </w:p>
    <w:p w:rsidR="00A373ED" w:rsidRDefault="00A373ED" w:rsidP="00CD502B">
      <w:pPr>
        <w:jc w:val="both"/>
        <w:rPr>
          <w:rFonts w:ascii="Palatino Linotype" w:hAnsi="Palatino Linotype"/>
          <w:i/>
          <w:sz w:val="20"/>
          <w:szCs w:val="20"/>
        </w:rPr>
      </w:pPr>
    </w:p>
    <w:p w:rsidR="003F6733" w:rsidRDefault="003F6733" w:rsidP="00CD502B">
      <w:pPr>
        <w:jc w:val="both"/>
        <w:rPr>
          <w:rFonts w:ascii="Palatino Linotype" w:hAnsi="Palatino Linotype"/>
          <w:i/>
          <w:sz w:val="20"/>
          <w:szCs w:val="20"/>
        </w:rPr>
      </w:pPr>
      <w:r w:rsidRPr="003F6733">
        <w:rPr>
          <w:rFonts w:ascii="Palatino Linotype" w:hAnsi="Palatino Linotype"/>
          <w:b/>
          <w:i/>
          <w:sz w:val="20"/>
          <w:szCs w:val="20"/>
          <w:u w:val="single"/>
        </w:rPr>
        <w:t>Aclaración:</w:t>
      </w:r>
      <w:r>
        <w:rPr>
          <w:rFonts w:ascii="Palatino Linotype" w:hAnsi="Palatino Linotype"/>
          <w:i/>
          <w:sz w:val="20"/>
          <w:szCs w:val="20"/>
        </w:rPr>
        <w:t xml:space="preserve"> Los modelos se han preparado considerando la aplicación de la Resolución N° 41, </w:t>
      </w:r>
      <w:r w:rsidR="001D56FB">
        <w:rPr>
          <w:rFonts w:ascii="Palatino Linotype" w:hAnsi="Palatino Linotype"/>
          <w:i/>
          <w:sz w:val="20"/>
          <w:szCs w:val="20"/>
        </w:rPr>
        <w:t>Segunda</w:t>
      </w:r>
      <w:r>
        <w:rPr>
          <w:rFonts w:ascii="Palatino Linotype" w:hAnsi="Palatino Linotype"/>
          <w:i/>
          <w:sz w:val="20"/>
          <w:szCs w:val="20"/>
        </w:rPr>
        <w:t xml:space="preserve"> Parte, es decir las Normas Contables Profesionales de Reconocimiento</w:t>
      </w:r>
      <w:r w:rsidR="006B17D3">
        <w:rPr>
          <w:rFonts w:ascii="Palatino Linotype" w:hAnsi="Palatino Linotype"/>
          <w:i/>
          <w:sz w:val="20"/>
          <w:szCs w:val="20"/>
        </w:rPr>
        <w:t xml:space="preserve"> y Medición para Entes Pequeños; en el caso que se hubieran aplicado las Normas Contables Profesionales de Reconocimiento y Medición para Entes Medianos</w:t>
      </w:r>
      <w:r>
        <w:rPr>
          <w:rFonts w:ascii="Palatino Linotype" w:hAnsi="Palatino Linotype"/>
          <w:i/>
          <w:sz w:val="20"/>
          <w:szCs w:val="20"/>
        </w:rPr>
        <w:t xml:space="preserve"> </w:t>
      </w:r>
      <w:r w:rsidR="001D56FB">
        <w:rPr>
          <w:rFonts w:ascii="Palatino Linotype" w:hAnsi="Palatino Linotype"/>
          <w:i/>
          <w:sz w:val="20"/>
          <w:szCs w:val="20"/>
        </w:rPr>
        <w:t>(cuya aplicación anticipada es posible de</w:t>
      </w:r>
      <w:r w:rsidR="00B73D12">
        <w:rPr>
          <w:rFonts w:ascii="Palatino Linotype" w:hAnsi="Palatino Linotype"/>
          <w:i/>
          <w:sz w:val="20"/>
          <w:szCs w:val="20"/>
        </w:rPr>
        <w:t>sde</w:t>
      </w:r>
      <w:r w:rsidR="001D56FB">
        <w:rPr>
          <w:rFonts w:ascii="Palatino Linotype" w:hAnsi="Palatino Linotype"/>
          <w:i/>
          <w:sz w:val="20"/>
          <w:szCs w:val="20"/>
        </w:rPr>
        <w:t xml:space="preserve"> los ejercicios iniciados a partir del 1° de enero de 2015) deberá hacerse referencia a que se ha aplicado la Tercera Parte de la RT N° 41 como se indica entre corchetes.</w:t>
      </w:r>
    </w:p>
    <w:p w:rsidR="001D56FB" w:rsidRDefault="001D56FB" w:rsidP="00CD502B">
      <w:pPr>
        <w:jc w:val="both"/>
        <w:rPr>
          <w:rFonts w:ascii="Palatino Linotype" w:hAnsi="Palatino Linotype"/>
          <w:i/>
          <w:sz w:val="20"/>
          <w:szCs w:val="20"/>
        </w:rPr>
      </w:pPr>
    </w:p>
    <w:p w:rsidR="00C60304" w:rsidRPr="00C60304" w:rsidRDefault="00C60304" w:rsidP="00C60304">
      <w:pPr>
        <w:jc w:val="center"/>
        <w:rPr>
          <w:rFonts w:ascii="Palatino Linotype" w:hAnsi="Palatino Linotype"/>
          <w:b/>
          <w:i/>
          <w:sz w:val="20"/>
          <w:szCs w:val="20"/>
          <w:u w:val="single"/>
          <w:lang w:val="es-MX"/>
        </w:rPr>
      </w:pPr>
      <w:r w:rsidRPr="00C60304">
        <w:rPr>
          <w:rFonts w:ascii="Palatino Linotype" w:hAnsi="Palatino Linotype"/>
          <w:b/>
          <w:i/>
          <w:sz w:val="20"/>
          <w:szCs w:val="20"/>
          <w:u w:val="single"/>
          <w:lang w:val="es-MX"/>
        </w:rPr>
        <w:t>Modelo I de Nota sobre Unidad de Medida</w:t>
      </w:r>
    </w:p>
    <w:p w:rsidR="00C60304" w:rsidRPr="00C60304" w:rsidRDefault="00C60304" w:rsidP="00C60304">
      <w:pPr>
        <w:jc w:val="both"/>
        <w:rPr>
          <w:rFonts w:ascii="Palatino Linotype" w:hAnsi="Palatino Linotype"/>
          <w:sz w:val="20"/>
          <w:szCs w:val="20"/>
          <w:lang w:val="es-MX"/>
        </w:rPr>
      </w:pPr>
    </w:p>
    <w:p w:rsidR="00C60304" w:rsidRPr="00C60304" w:rsidRDefault="00C60304" w:rsidP="00C60304">
      <w:pPr>
        <w:jc w:val="both"/>
        <w:rPr>
          <w:rFonts w:ascii="Palatino Linotype" w:hAnsi="Palatino Linotype"/>
          <w:i/>
          <w:sz w:val="20"/>
          <w:szCs w:val="20"/>
        </w:rPr>
      </w:pPr>
      <w:r w:rsidRPr="00C60304">
        <w:rPr>
          <w:rFonts w:ascii="Palatino Linotype" w:hAnsi="Palatino Linotype"/>
          <w:b/>
          <w:i/>
          <w:sz w:val="20"/>
          <w:szCs w:val="20"/>
          <w:u w:val="single"/>
          <w:lang w:val="es-MX"/>
        </w:rPr>
        <w:t>Caso:</w:t>
      </w:r>
      <w:r w:rsidRPr="00C60304">
        <w:rPr>
          <w:rFonts w:ascii="Palatino Linotype" w:hAnsi="Palatino Linotype"/>
          <w:b/>
          <w:i/>
          <w:sz w:val="20"/>
          <w:szCs w:val="20"/>
        </w:rPr>
        <w:t xml:space="preserve"> </w:t>
      </w:r>
      <w:r w:rsidRPr="00C60304">
        <w:rPr>
          <w:rFonts w:ascii="Palatino Linotype" w:hAnsi="Palatino Linotype"/>
          <w:i/>
          <w:sz w:val="20"/>
          <w:szCs w:val="20"/>
        </w:rPr>
        <w:t>El ente ha practicado la reexpresión de las cifras de los estados contables en períodos anteriores aplicando las respectivas normas contables profesionales: i) hasta el 30 de septiembre de 2003, conforme indicaron las normas contables profesionales; o ii) hasta la fecha que correspondió reexpresar</w:t>
      </w:r>
      <w:r w:rsidRPr="00C60304">
        <w:rPr>
          <w:rFonts w:ascii="Palatino Linotype" w:hAnsi="Palatino Linotype"/>
          <w:sz w:val="20"/>
          <w:szCs w:val="20"/>
          <w:lang w:val="es-MX"/>
        </w:rPr>
        <w:t xml:space="preserve"> </w:t>
      </w:r>
      <w:r w:rsidRPr="00C60304">
        <w:rPr>
          <w:rFonts w:ascii="Palatino Linotype" w:hAnsi="Palatino Linotype"/>
          <w:i/>
          <w:sz w:val="20"/>
          <w:szCs w:val="20"/>
          <w:lang w:val="es-MX"/>
        </w:rPr>
        <w:t xml:space="preserve">en virtud de lo establecido por el Decreto P.E.N. N°  664/03 y lo consecuentemente dispuesto por el respectivo Organismo de Control, </w:t>
      </w:r>
      <w:r w:rsidRPr="00C60304">
        <w:rPr>
          <w:rFonts w:ascii="Palatino Linotype" w:hAnsi="Palatino Linotype"/>
          <w:i/>
          <w:sz w:val="20"/>
          <w:szCs w:val="20"/>
        </w:rPr>
        <w:t>no siendo significativos los efectos de las variaciones del IPIM operadas entre la fecha de discontinuación de la reexpresión  y el 30 de septiembre de 2003.</w:t>
      </w:r>
    </w:p>
    <w:p w:rsidR="00C60304" w:rsidRPr="00C60304" w:rsidRDefault="00C60304" w:rsidP="00C60304">
      <w:pPr>
        <w:jc w:val="both"/>
        <w:rPr>
          <w:rFonts w:ascii="Palatino Linotype" w:hAnsi="Palatino Linotype"/>
          <w:i/>
          <w:sz w:val="20"/>
          <w:szCs w:val="20"/>
          <w:lang w:val="es-MX"/>
        </w:rPr>
      </w:pPr>
    </w:p>
    <w:p w:rsidR="00C60304" w:rsidRPr="00C60304" w:rsidRDefault="00C60304" w:rsidP="00C60304">
      <w:pPr>
        <w:jc w:val="both"/>
        <w:rPr>
          <w:rFonts w:ascii="Palatino Linotype" w:hAnsi="Palatino Linotype"/>
          <w:i/>
          <w:sz w:val="20"/>
          <w:szCs w:val="20"/>
          <w:lang w:val="es-MX"/>
        </w:rPr>
      </w:pPr>
    </w:p>
    <w:p w:rsidR="00C60304" w:rsidRPr="00C60304" w:rsidRDefault="00C60304" w:rsidP="00C60304">
      <w:pPr>
        <w:jc w:val="both"/>
        <w:rPr>
          <w:rFonts w:ascii="Palatino Linotype" w:hAnsi="Palatino Linotype"/>
          <w:b/>
          <w:i/>
          <w:sz w:val="20"/>
          <w:szCs w:val="20"/>
          <w:u w:val="single"/>
          <w:lang w:val="es-MX"/>
        </w:rPr>
      </w:pPr>
      <w:r w:rsidRPr="00C60304">
        <w:rPr>
          <w:rFonts w:ascii="Palatino Linotype" w:hAnsi="Palatino Linotype"/>
          <w:b/>
          <w:i/>
          <w:sz w:val="20"/>
          <w:szCs w:val="20"/>
          <w:u w:val="single"/>
          <w:lang w:val="es-MX"/>
        </w:rPr>
        <w:t>Unidad de Medida.</w:t>
      </w:r>
    </w:p>
    <w:p w:rsidR="00C60304" w:rsidRPr="00C60304" w:rsidRDefault="00C60304" w:rsidP="00C60304">
      <w:pPr>
        <w:jc w:val="both"/>
        <w:rPr>
          <w:rFonts w:ascii="Palatino Linotype" w:hAnsi="Palatino Linotype"/>
          <w:i/>
          <w:sz w:val="20"/>
          <w:szCs w:val="20"/>
          <w:lang w:val="es-MX"/>
        </w:rPr>
      </w:pPr>
    </w:p>
    <w:p w:rsidR="00C60304" w:rsidRPr="00C60304" w:rsidRDefault="00C60304" w:rsidP="00C60304">
      <w:pPr>
        <w:jc w:val="both"/>
        <w:rPr>
          <w:rFonts w:ascii="Palatino Linotype" w:hAnsi="Palatino Linotype"/>
          <w:i/>
          <w:sz w:val="20"/>
          <w:szCs w:val="20"/>
          <w:lang w:val="es-MX"/>
        </w:rPr>
      </w:pPr>
      <w:r w:rsidRPr="00C60304">
        <w:rPr>
          <w:rFonts w:ascii="Palatino Linotype" w:hAnsi="Palatino Linotype"/>
          <w:i/>
          <w:sz w:val="20"/>
          <w:szCs w:val="20"/>
          <w:lang w:val="es-MX"/>
        </w:rPr>
        <w:t xml:space="preserve">Los estados contables han sido preparados en moneda homogénea reconociendo en forma integral los efectos de la inflación de acuerdo con las correspondientes normas contables profesionales aplicables hasta el 30 de septiembre de 2003. Conforme lo dispuesto por </w:t>
      </w:r>
      <w:smartTag w:uri="urn:schemas-microsoft-com:office:smarttags" w:element="PersonName">
        <w:smartTagPr>
          <w:attr w:name="ProductID" w:val="la Federaci￳n Argentina"/>
        </w:smartTagPr>
        <w:r w:rsidRPr="00C60304">
          <w:rPr>
            <w:rFonts w:ascii="Palatino Linotype" w:hAnsi="Palatino Linotype"/>
            <w:i/>
            <w:sz w:val="20"/>
            <w:szCs w:val="20"/>
            <w:lang w:val="es-MX"/>
          </w:rPr>
          <w:t>la Federación Argentina</w:t>
        </w:r>
      </w:smartTag>
      <w:r w:rsidRPr="00C60304">
        <w:rPr>
          <w:rFonts w:ascii="Palatino Linotype" w:hAnsi="Palatino Linotype"/>
          <w:i/>
          <w:sz w:val="20"/>
          <w:szCs w:val="20"/>
          <w:lang w:val="es-MX"/>
        </w:rPr>
        <w:t xml:space="preserve"> de Consejos Profesionales de Ciencias Económicas a través de su Resolución N° 287/03, se ha discontinuado la reexpresión para reflejar las variaciones en el poder adquisitivo de la moneda a partir del 1° de octubre de 2003, criterio ratificado por </w:t>
      </w:r>
      <w:smartTag w:uri="urn:schemas-microsoft-com:office:smarttags" w:element="PersonName">
        <w:smartTagPr>
          <w:attr w:name="ProductID" w:val="la Resoluci￳n CD N"/>
        </w:smartTagPr>
        <w:smartTag w:uri="urn:schemas-microsoft-com:office:smarttags" w:element="PersonName">
          <w:smartTagPr>
            <w:attr w:name="ProductID" w:val="la Resoluci￳n CD"/>
          </w:smartTagPr>
          <w:r w:rsidRPr="00C60304">
            <w:rPr>
              <w:rFonts w:ascii="Palatino Linotype" w:hAnsi="Palatino Linotype"/>
              <w:i/>
              <w:sz w:val="20"/>
              <w:szCs w:val="20"/>
              <w:lang w:val="es-MX"/>
            </w:rPr>
            <w:t>la Resolución CD</w:t>
          </w:r>
        </w:smartTag>
        <w:r w:rsidRPr="00C60304">
          <w:rPr>
            <w:rFonts w:ascii="Palatino Linotype" w:hAnsi="Palatino Linotype"/>
            <w:i/>
            <w:sz w:val="20"/>
            <w:szCs w:val="20"/>
            <w:lang w:val="es-MX"/>
          </w:rPr>
          <w:t xml:space="preserve"> N</w:t>
        </w:r>
      </w:smartTag>
      <w:r w:rsidRPr="00C60304">
        <w:rPr>
          <w:rFonts w:ascii="Palatino Linotype" w:hAnsi="Palatino Linotype"/>
          <w:i/>
          <w:sz w:val="20"/>
          <w:szCs w:val="20"/>
          <w:lang w:val="es-MX"/>
        </w:rPr>
        <w:t>° 3150 del Consejo Profesional de Ciencias Económicas de la Provincia de Buenos Aires.</w:t>
      </w:r>
      <w:r w:rsidRPr="00C60304">
        <w:rPr>
          <w:rFonts w:ascii="Palatino Linotype" w:hAnsi="Palatino Linotype"/>
          <w:b/>
          <w:i/>
          <w:sz w:val="20"/>
          <w:szCs w:val="20"/>
          <w:lang w:val="es-MX"/>
        </w:rPr>
        <w:t>[1]</w:t>
      </w:r>
      <w:r w:rsidRPr="00C60304">
        <w:rPr>
          <w:rFonts w:ascii="Palatino Linotype" w:hAnsi="Palatino Linotype"/>
          <w:i/>
          <w:sz w:val="20"/>
          <w:szCs w:val="20"/>
          <w:lang w:val="es-MX"/>
        </w:rPr>
        <w:t xml:space="preserve"> </w:t>
      </w:r>
    </w:p>
    <w:p w:rsidR="00C60304" w:rsidRPr="00C60304" w:rsidRDefault="00C60304" w:rsidP="00C60304">
      <w:pPr>
        <w:jc w:val="both"/>
        <w:rPr>
          <w:rFonts w:ascii="Palatino Linotype" w:hAnsi="Palatino Linotype"/>
          <w:i/>
          <w:sz w:val="20"/>
          <w:szCs w:val="20"/>
          <w:lang w:val="es-MX"/>
        </w:rPr>
      </w:pPr>
    </w:p>
    <w:p w:rsidR="00C60304" w:rsidRPr="00C60304" w:rsidRDefault="00C60304" w:rsidP="00C60304">
      <w:pPr>
        <w:jc w:val="both"/>
        <w:rPr>
          <w:rFonts w:ascii="Palatino Linotype" w:hAnsi="Palatino Linotype"/>
          <w:i/>
          <w:sz w:val="20"/>
          <w:szCs w:val="20"/>
          <w:lang w:val="es-MX"/>
        </w:rPr>
      </w:pPr>
      <w:r w:rsidRPr="00C60304">
        <w:rPr>
          <w:rFonts w:ascii="Palatino Linotype" w:hAnsi="Palatino Linotype"/>
          <w:i/>
          <w:sz w:val="20"/>
          <w:szCs w:val="20"/>
          <w:lang w:val="es-MX"/>
        </w:rPr>
        <w:t xml:space="preserve">A partir de </w:t>
      </w:r>
      <w:smartTag w:uri="urn:schemas-microsoft-com:office:smarttags" w:element="PersonName">
        <w:smartTagPr>
          <w:attr w:name="ProductID" w:val="la Resoluci￳n T￩cnica N"/>
        </w:smartTagPr>
        <w:smartTag w:uri="urn:schemas-microsoft-com:office:smarttags" w:element="PersonName">
          <w:smartTagPr>
            <w:attr w:name="ProductID" w:val="La Resoluci￳n T￩cnica"/>
          </w:smartTagPr>
          <w:r w:rsidRPr="00C60304">
            <w:rPr>
              <w:rFonts w:ascii="Palatino Linotype" w:hAnsi="Palatino Linotype"/>
              <w:i/>
              <w:sz w:val="20"/>
              <w:szCs w:val="20"/>
              <w:lang w:val="es-MX"/>
            </w:rPr>
            <w:t>la Resolución Técnica</w:t>
          </w:r>
        </w:smartTag>
        <w:r w:rsidRPr="00C60304">
          <w:rPr>
            <w:rFonts w:ascii="Palatino Linotype" w:hAnsi="Palatino Linotype"/>
            <w:i/>
            <w:sz w:val="20"/>
            <w:szCs w:val="20"/>
            <w:lang w:val="es-MX"/>
          </w:rPr>
          <w:t xml:space="preserve"> N</w:t>
        </w:r>
      </w:smartTag>
      <w:r w:rsidRPr="00C60304">
        <w:rPr>
          <w:rFonts w:ascii="Palatino Linotype" w:hAnsi="Palatino Linotype"/>
          <w:i/>
          <w:sz w:val="20"/>
          <w:szCs w:val="20"/>
          <w:lang w:val="es-MX"/>
        </w:rPr>
        <w:t xml:space="preserve">° 39, aprobada por Resolución CD N° 3519 del Consejo Profesional de Ciencias Económicas de la Provincia de Buenos Aires con fecha 20 de diciembre de 2013, y  de su </w:t>
      </w:r>
      <w:r w:rsidRPr="00C60304">
        <w:rPr>
          <w:rFonts w:ascii="Palatino Linotype" w:hAnsi="Palatino Linotype"/>
          <w:i/>
          <w:sz w:val="20"/>
          <w:szCs w:val="20"/>
          <w:lang w:val="es-MX"/>
        </w:rPr>
        <w:lastRenderedPageBreak/>
        <w:t xml:space="preserve">normativa técnica complementaria, actualmente </w:t>
      </w:r>
      <w:smartTag w:uri="urn:schemas-microsoft-com:office:smarttags" w:element="PersonName">
        <w:smartTagPr>
          <w:attr w:name="ProductID" w:val="la Interpretaci￳n N"/>
        </w:smartTagPr>
        <w:smartTag w:uri="urn:schemas-microsoft-com:office:smarttags" w:element="PersonName">
          <w:smartTagPr>
            <w:attr w:name="ProductID" w:val="La Interpretaci￳n"/>
          </w:smartTagPr>
          <w:r w:rsidRPr="00C60304">
            <w:rPr>
              <w:rFonts w:ascii="Palatino Linotype" w:hAnsi="Palatino Linotype"/>
              <w:i/>
              <w:sz w:val="20"/>
              <w:szCs w:val="20"/>
              <w:lang w:val="es-MX"/>
            </w:rPr>
            <w:t>la Interpretación</w:t>
          </w:r>
        </w:smartTag>
        <w:r w:rsidRPr="00C60304">
          <w:rPr>
            <w:rFonts w:ascii="Palatino Linotype" w:hAnsi="Palatino Linotype"/>
            <w:i/>
            <w:sz w:val="20"/>
            <w:szCs w:val="20"/>
            <w:lang w:val="es-MX"/>
          </w:rPr>
          <w:t xml:space="preserve"> N</w:t>
        </w:r>
      </w:smartTag>
      <w:r w:rsidRPr="00C60304">
        <w:rPr>
          <w:rFonts w:ascii="Palatino Linotype" w:hAnsi="Palatino Linotype"/>
          <w:i/>
          <w:sz w:val="20"/>
          <w:szCs w:val="20"/>
          <w:lang w:val="es-MX"/>
        </w:rPr>
        <w:t>° 8 de Normas Profesionales,  la necesidad de reexpresar los estados contables para reflejar los cambios en el poder adquisitivo de la moneda viene indicada por la existencia o no de un contexto de inflación tal que lleve a calificar a la economía de altamente inflacionaria.  La Resolucion Técnica N° 41</w:t>
      </w:r>
      <w:r w:rsidR="00A015AF">
        <w:rPr>
          <w:rFonts w:ascii="Palatino Linotype" w:hAnsi="Palatino Linotype"/>
          <w:i/>
          <w:sz w:val="20"/>
          <w:szCs w:val="20"/>
          <w:lang w:val="es-MX"/>
        </w:rPr>
        <w:t xml:space="preserve">, 2da. Parte </w:t>
      </w:r>
      <w:r w:rsidR="00A015AF" w:rsidRPr="00A015AF">
        <w:rPr>
          <w:rFonts w:ascii="Palatino Linotype" w:hAnsi="Palatino Linotype"/>
          <w:b/>
          <w:i/>
          <w:sz w:val="20"/>
          <w:szCs w:val="20"/>
          <w:lang w:val="es-MX"/>
        </w:rPr>
        <w:t>[3ra.Parte</w:t>
      </w:r>
      <w:r w:rsidR="00B73D12">
        <w:rPr>
          <w:rFonts w:ascii="Palatino Linotype" w:hAnsi="Palatino Linotype"/>
          <w:b/>
          <w:i/>
          <w:sz w:val="20"/>
          <w:szCs w:val="20"/>
          <w:lang w:val="es-MX"/>
        </w:rPr>
        <w:t>]</w:t>
      </w:r>
      <w:r w:rsidR="00B73D12" w:rsidRPr="00B73D12">
        <w:rPr>
          <w:rFonts w:ascii="Palatino Linotype" w:hAnsi="Palatino Linotype"/>
          <w:i/>
          <w:sz w:val="20"/>
          <w:szCs w:val="20"/>
          <w:lang w:val="es-MX"/>
        </w:rPr>
        <w:t>,</w:t>
      </w:r>
      <w:r w:rsidR="00A015AF">
        <w:rPr>
          <w:rFonts w:ascii="Palatino Linotype" w:hAnsi="Palatino Linotype"/>
          <w:b/>
          <w:i/>
          <w:sz w:val="20"/>
          <w:szCs w:val="20"/>
          <w:lang w:val="es-MX"/>
        </w:rPr>
        <w:t xml:space="preserve"> </w:t>
      </w:r>
      <w:r w:rsidR="00A015AF" w:rsidRPr="00B73D12">
        <w:rPr>
          <w:rFonts w:ascii="Palatino Linotype" w:hAnsi="Palatino Linotype"/>
          <w:i/>
          <w:sz w:val="20"/>
          <w:szCs w:val="20"/>
          <w:lang w:val="es-MX"/>
        </w:rPr>
        <w:t>(Resoluciones CD N° 3563 y 3596)</w:t>
      </w:r>
      <w:r w:rsidR="00A015AF" w:rsidRPr="00A015AF">
        <w:rPr>
          <w:rFonts w:ascii="Palatino Linotype" w:hAnsi="Palatino Linotype"/>
          <w:i/>
          <w:sz w:val="20"/>
          <w:szCs w:val="20"/>
          <w:lang w:val="es-MX"/>
        </w:rPr>
        <w:t xml:space="preserve"> </w:t>
      </w:r>
      <w:r w:rsidR="00A015AF" w:rsidRPr="00A015AF">
        <w:rPr>
          <w:rFonts w:ascii="Palatino Linotype" w:hAnsi="Palatino Linotype"/>
          <w:b/>
          <w:i/>
          <w:sz w:val="20"/>
          <w:szCs w:val="20"/>
          <w:lang w:val="es-MX"/>
        </w:rPr>
        <w:t>[3]</w:t>
      </w:r>
      <w:r w:rsidR="00A015AF">
        <w:rPr>
          <w:rFonts w:ascii="Palatino Linotype" w:hAnsi="Palatino Linotype"/>
          <w:i/>
          <w:sz w:val="20"/>
          <w:szCs w:val="20"/>
          <w:lang w:val="es-MX"/>
        </w:rPr>
        <w:t>,</w:t>
      </w:r>
      <w:r w:rsidRPr="00C60304">
        <w:rPr>
          <w:rFonts w:ascii="Palatino Linotype" w:hAnsi="Palatino Linotype"/>
          <w:b/>
          <w:i/>
          <w:sz w:val="20"/>
          <w:szCs w:val="20"/>
          <w:lang w:val="es-MX"/>
        </w:rPr>
        <w:t xml:space="preserve"> </w:t>
      </w:r>
      <w:r w:rsidRPr="00C60304">
        <w:rPr>
          <w:rFonts w:ascii="Palatino Linotype" w:hAnsi="Palatino Linotype"/>
          <w:i/>
          <w:sz w:val="20"/>
          <w:szCs w:val="20"/>
          <w:lang w:val="es-MX"/>
        </w:rPr>
        <w:t>que se ha aplicado en la preparación de los presentes estados contables, establece en esencia idéntico criterio.</w:t>
      </w:r>
    </w:p>
    <w:p w:rsidR="00C60304" w:rsidRPr="00C60304" w:rsidRDefault="00C60304" w:rsidP="00C60304">
      <w:pPr>
        <w:jc w:val="both"/>
        <w:rPr>
          <w:rFonts w:ascii="Palatino Linotype" w:hAnsi="Palatino Linotype"/>
          <w:i/>
          <w:sz w:val="20"/>
          <w:szCs w:val="20"/>
          <w:lang w:val="es-MX"/>
        </w:rPr>
      </w:pPr>
    </w:p>
    <w:p w:rsidR="00C60304" w:rsidRPr="00C60304" w:rsidRDefault="00C60304" w:rsidP="00C60304">
      <w:pPr>
        <w:jc w:val="both"/>
        <w:rPr>
          <w:rFonts w:ascii="Palatino Linotype" w:hAnsi="Palatino Linotype"/>
          <w:i/>
          <w:sz w:val="20"/>
          <w:szCs w:val="20"/>
          <w:lang w:val="es-MX"/>
        </w:rPr>
      </w:pPr>
      <w:r w:rsidRPr="00C60304">
        <w:rPr>
          <w:rFonts w:ascii="Palatino Linotype" w:hAnsi="Palatino Linotype"/>
          <w:i/>
          <w:sz w:val="20"/>
          <w:szCs w:val="20"/>
          <w:lang w:val="es-MX"/>
        </w:rPr>
        <w:t>A los fines de identificar la existencia de un entorno económico con tales características, la RT N° 41 brinda una pauta cuantitativa que es condición necesaria para proceder a reexpresar las cifras de los estados contables, dicha pauta consiste en que la tasa acumulada de inflación en tres años, considerando el Índice de Precios Internos al por Mayor elaborado por el Instituto Nacional de Estadísticas y Censos (INDEC), alcance o sobrepase el 100%. También la norma proporciona una serie de pautas cualitativas que serían de utilidad para determinar si corresponde efectuar la referida reexpresión en un escenario en que existiera ausencia prolongada de un índice oficial de precios.</w:t>
      </w:r>
    </w:p>
    <w:p w:rsidR="00C60304" w:rsidRPr="00C60304" w:rsidRDefault="00C60304" w:rsidP="00C60304">
      <w:pPr>
        <w:jc w:val="both"/>
        <w:rPr>
          <w:rFonts w:ascii="Palatino Linotype" w:hAnsi="Palatino Linotype"/>
          <w:i/>
          <w:sz w:val="20"/>
          <w:szCs w:val="20"/>
          <w:lang w:val="es-MX"/>
        </w:rPr>
      </w:pPr>
    </w:p>
    <w:p w:rsidR="00C60304" w:rsidRPr="00C60304" w:rsidRDefault="00C60304" w:rsidP="00C60304">
      <w:pPr>
        <w:jc w:val="both"/>
        <w:rPr>
          <w:rFonts w:ascii="Palatino Linotype" w:hAnsi="Palatino Linotype"/>
          <w:i/>
          <w:sz w:val="20"/>
          <w:szCs w:val="20"/>
        </w:rPr>
      </w:pPr>
      <w:r w:rsidRPr="00C60304">
        <w:rPr>
          <w:rFonts w:ascii="Palatino Linotype" w:hAnsi="Palatino Linotype"/>
          <w:i/>
          <w:sz w:val="20"/>
          <w:szCs w:val="20"/>
        </w:rPr>
        <w:t xml:space="preserve">Con fecha 07 de enero de 2016 el Poder Ejecutivo Nacional declaró en estado de emergencia administrativa al Sistema Estadístico Nacional y a su órgano rector, el INDEC y, en el marco de la emergencia, el INDEC discontinuó la emisión del Índice de Precios Internos al por Mayor (IPIM) durante los meses de noviembre y diciembre del año 2015. La publicación del IPIM </w:t>
      </w:r>
      <w:r w:rsidR="00B73D12">
        <w:rPr>
          <w:rFonts w:ascii="Palatino Linotype" w:hAnsi="Palatino Linotype"/>
          <w:i/>
          <w:sz w:val="20"/>
          <w:szCs w:val="20"/>
        </w:rPr>
        <w:t xml:space="preserve">(expresado en términos de variación mensual) </w:t>
      </w:r>
      <w:r w:rsidRPr="00C60304">
        <w:rPr>
          <w:rFonts w:ascii="Palatino Linotype" w:hAnsi="Palatino Linotype"/>
          <w:i/>
          <w:sz w:val="20"/>
          <w:szCs w:val="20"/>
        </w:rPr>
        <w:t>ha sido retomada por el mencionado Instituto desde el mes de enero de 2016.</w:t>
      </w:r>
    </w:p>
    <w:p w:rsidR="00C60304" w:rsidRDefault="00C60304" w:rsidP="00C60304">
      <w:pPr>
        <w:jc w:val="both"/>
        <w:rPr>
          <w:rFonts w:ascii="Palatino Linotype" w:hAnsi="Palatino Linotype"/>
          <w:i/>
          <w:sz w:val="20"/>
          <w:szCs w:val="20"/>
        </w:rPr>
      </w:pPr>
    </w:p>
    <w:p w:rsidR="00C60304" w:rsidRPr="00C60304" w:rsidRDefault="00C60304" w:rsidP="00C60304">
      <w:pPr>
        <w:jc w:val="both"/>
        <w:rPr>
          <w:rFonts w:ascii="Palatino Linotype" w:hAnsi="Palatino Linotype"/>
          <w:i/>
          <w:sz w:val="20"/>
          <w:szCs w:val="20"/>
        </w:rPr>
      </w:pPr>
      <w:r w:rsidRPr="00C60304">
        <w:rPr>
          <w:rFonts w:ascii="Palatino Linotype" w:hAnsi="Palatino Linotype"/>
          <w:i/>
          <w:sz w:val="20"/>
          <w:szCs w:val="20"/>
        </w:rPr>
        <w:t xml:space="preserve">Ante  lo establecido por la mencionada </w:t>
      </w:r>
      <w:r>
        <w:rPr>
          <w:rFonts w:ascii="Palatino Linotype" w:hAnsi="Palatino Linotype"/>
          <w:i/>
          <w:sz w:val="20"/>
          <w:szCs w:val="20"/>
        </w:rPr>
        <w:t>Resolución Técnica N° 41</w:t>
      </w:r>
      <w:r w:rsidRPr="00C60304">
        <w:rPr>
          <w:rFonts w:ascii="Palatino Linotype" w:hAnsi="Palatino Linotype"/>
          <w:i/>
          <w:sz w:val="20"/>
          <w:szCs w:val="20"/>
        </w:rPr>
        <w:t xml:space="preserve"> y la falta de la información emitida por el INDEC sobre la evolución del IPIM correspondiente a los dos últimos meses del año 2015, al efecto de evaluar si se ha alcanzado o sobrepasado la pauta cuantitativa señalada se han considerado dichos meses como “sin datos”.  Con la aplicación del criterio indicado, la evolución del IPIM durante el trienio cerrado al 30 de junio de 2016 que es objetivamente determinable con la información de precios internos al por mayor proporcionada por el INDEC no alcanza el 100%.   </w:t>
      </w:r>
    </w:p>
    <w:p w:rsidR="00C60304" w:rsidRPr="00C60304" w:rsidRDefault="00C60304" w:rsidP="00C60304">
      <w:pPr>
        <w:jc w:val="both"/>
        <w:rPr>
          <w:rFonts w:ascii="Palatino Linotype" w:hAnsi="Palatino Linotype"/>
          <w:i/>
          <w:sz w:val="20"/>
          <w:szCs w:val="20"/>
          <w:lang w:val="es-MX"/>
        </w:rPr>
      </w:pPr>
    </w:p>
    <w:p w:rsidR="00C60304" w:rsidRPr="00C60304" w:rsidRDefault="00C60304" w:rsidP="00C60304">
      <w:pPr>
        <w:jc w:val="both"/>
        <w:rPr>
          <w:rFonts w:ascii="Palatino Linotype" w:hAnsi="Palatino Linotype"/>
          <w:i/>
          <w:sz w:val="20"/>
          <w:szCs w:val="20"/>
          <w:lang w:val="es-MX"/>
        </w:rPr>
      </w:pPr>
      <w:r w:rsidRPr="00C60304">
        <w:rPr>
          <w:rFonts w:ascii="Palatino Linotype" w:hAnsi="Palatino Linotype"/>
          <w:i/>
          <w:sz w:val="20"/>
          <w:szCs w:val="20"/>
          <w:lang w:val="es-MX"/>
        </w:rPr>
        <w:t>Por lo tanto, en la confección de estos estados contables se ha mantenido la discontinuación de la aplicación del mecanismo de reexpresión de las cifras para reflejar los cambios en el poder adquisitivo de la moneda efectuada a partir del 1° de octubre de 2003, fecha desde la cual se utiliza la moneda nominal como moneda homogénea.</w:t>
      </w:r>
      <w:r w:rsidRPr="00C60304">
        <w:rPr>
          <w:rFonts w:ascii="Palatino Linotype" w:hAnsi="Palatino Linotype"/>
          <w:b/>
          <w:i/>
          <w:sz w:val="20"/>
          <w:szCs w:val="20"/>
          <w:lang w:val="es-MX"/>
        </w:rPr>
        <w:t xml:space="preserve"> [2]</w:t>
      </w:r>
    </w:p>
    <w:p w:rsidR="00C60304" w:rsidRPr="00C60304" w:rsidRDefault="00C60304" w:rsidP="00C60304">
      <w:pPr>
        <w:jc w:val="both"/>
        <w:rPr>
          <w:rFonts w:ascii="Palatino Linotype" w:hAnsi="Palatino Linotype"/>
          <w:i/>
          <w:sz w:val="20"/>
          <w:szCs w:val="20"/>
          <w:lang w:val="es-MX"/>
        </w:rPr>
      </w:pPr>
    </w:p>
    <w:p w:rsidR="00C60304" w:rsidRPr="00C60304" w:rsidRDefault="00C60304" w:rsidP="00C60304">
      <w:pPr>
        <w:jc w:val="both"/>
        <w:rPr>
          <w:rFonts w:ascii="Palatino Linotype" w:hAnsi="Palatino Linotype"/>
          <w:i/>
          <w:sz w:val="20"/>
          <w:szCs w:val="20"/>
          <w:lang w:val="es-MX"/>
        </w:rPr>
      </w:pPr>
      <w:r w:rsidRPr="00C60304">
        <w:rPr>
          <w:rFonts w:ascii="Palatino Linotype" w:hAnsi="Palatino Linotype"/>
          <w:b/>
          <w:i/>
          <w:sz w:val="20"/>
          <w:szCs w:val="20"/>
          <w:lang w:val="es-MX"/>
        </w:rPr>
        <w:t>[1]</w:t>
      </w:r>
      <w:r w:rsidRPr="00C60304">
        <w:rPr>
          <w:rFonts w:ascii="Palatino Linotype" w:hAnsi="Palatino Linotype"/>
          <w:i/>
          <w:sz w:val="20"/>
          <w:szCs w:val="20"/>
          <w:lang w:val="es-MX"/>
        </w:rPr>
        <w:t xml:space="preserve"> y </w:t>
      </w:r>
      <w:r w:rsidRPr="00C60304">
        <w:rPr>
          <w:rFonts w:ascii="Palatino Linotype" w:hAnsi="Palatino Linotype"/>
          <w:b/>
          <w:i/>
          <w:sz w:val="20"/>
          <w:szCs w:val="20"/>
          <w:lang w:val="es-MX"/>
        </w:rPr>
        <w:t>[2]</w:t>
      </w:r>
      <w:r w:rsidRPr="00C60304">
        <w:rPr>
          <w:rFonts w:ascii="Palatino Linotype" w:hAnsi="Palatino Linotype"/>
          <w:i/>
          <w:sz w:val="20"/>
          <w:szCs w:val="20"/>
          <w:lang w:val="es-MX"/>
        </w:rPr>
        <w:t xml:space="preserve"> En aquellos casos en que el ente haya discontinuado la reexpresión de las cifras de los estados contables durante el año 2003 en virtud de lo establecido por el Decreto PEN N° 664/03 y la normativa consecuentemente emitida por su Organismo de Control, se propone la utilización de los siguientes textos para los párrafos primero y sexto del modelo de nota:</w:t>
      </w:r>
    </w:p>
    <w:p w:rsidR="00C60304" w:rsidRPr="00C60304" w:rsidRDefault="00C60304" w:rsidP="00C60304">
      <w:pPr>
        <w:jc w:val="both"/>
        <w:rPr>
          <w:rFonts w:ascii="Palatino Linotype" w:hAnsi="Palatino Linotype"/>
          <w:i/>
          <w:sz w:val="20"/>
          <w:szCs w:val="20"/>
          <w:lang w:val="es-MX"/>
        </w:rPr>
      </w:pPr>
    </w:p>
    <w:p w:rsidR="00C60304" w:rsidRPr="00C60304" w:rsidRDefault="00C60304" w:rsidP="00C60304">
      <w:pPr>
        <w:jc w:val="both"/>
        <w:rPr>
          <w:rFonts w:ascii="Palatino Linotype" w:hAnsi="Palatino Linotype"/>
          <w:i/>
          <w:sz w:val="20"/>
          <w:szCs w:val="20"/>
          <w:lang w:val="es-MX"/>
        </w:rPr>
      </w:pPr>
      <w:r w:rsidRPr="00C60304">
        <w:rPr>
          <w:rFonts w:ascii="Palatino Linotype" w:hAnsi="Palatino Linotype"/>
          <w:i/>
          <w:sz w:val="20"/>
          <w:szCs w:val="20"/>
          <w:lang w:val="es-MX"/>
        </w:rPr>
        <w:t xml:space="preserve">“Los estados contables han sido preparados en moneda homogénea reconociendo en forma integral los efectos de la inflación de acuerdo con las correspondientes normas contables profesionales aplicables hasta </w:t>
      </w:r>
      <w:r w:rsidRPr="00C60304">
        <w:rPr>
          <w:rFonts w:ascii="Palatino Linotype" w:hAnsi="Palatino Linotype"/>
          <w:i/>
          <w:sz w:val="20"/>
          <w:szCs w:val="20"/>
          <w:lang w:val="es-MX"/>
        </w:rPr>
        <w:lastRenderedPageBreak/>
        <w:t xml:space="preserve">el …. de …… de 2003 </w:t>
      </w:r>
      <w:r w:rsidRPr="00C60304">
        <w:rPr>
          <w:rFonts w:ascii="Palatino Linotype" w:hAnsi="Palatino Linotype"/>
          <w:i/>
          <w:sz w:val="20"/>
          <w:szCs w:val="20"/>
        </w:rPr>
        <w:t>[fecha hasta la cual se realizó la reexpresión según normativa del pertinente Organismo de Control]</w:t>
      </w:r>
      <w:r w:rsidRPr="00C60304">
        <w:rPr>
          <w:rFonts w:ascii="Palatino Linotype" w:hAnsi="Palatino Linotype"/>
          <w:i/>
          <w:sz w:val="20"/>
          <w:szCs w:val="20"/>
          <w:lang w:val="es-MX"/>
        </w:rPr>
        <w:t xml:space="preserve">, fecha en la que se discontinuó la reexpresión  de las cifras de los estados contables para reflejar las variaciones en el poder adquisitivo de la moneda en virtud de lo establecido por el Decreto P.E.N. N°  664/03 y lo consecuentemente dispuesto por </w:t>
      </w:r>
      <w:smartTag w:uri="urn:schemas-microsoft-com:office:smarttags" w:element="PersonName">
        <w:smartTagPr>
          <w:attr w:name="ProductID" w:val="la Resoluci￳n N"/>
        </w:smartTagPr>
        <w:r w:rsidRPr="00C60304">
          <w:rPr>
            <w:rFonts w:ascii="Palatino Linotype" w:hAnsi="Palatino Linotype"/>
            <w:i/>
            <w:sz w:val="20"/>
            <w:szCs w:val="20"/>
            <w:lang w:val="es-MX"/>
          </w:rPr>
          <w:t>la Resolución N</w:t>
        </w:r>
      </w:smartTag>
      <w:r w:rsidRPr="00C60304">
        <w:rPr>
          <w:rFonts w:ascii="Palatino Linotype" w:hAnsi="Palatino Linotype"/>
          <w:i/>
          <w:sz w:val="20"/>
          <w:szCs w:val="20"/>
          <w:lang w:val="es-MX"/>
        </w:rPr>
        <w:t xml:space="preserve">°… del ………. [Organismo de Control respectivo]. Conforme lo resuelto por </w:t>
      </w:r>
      <w:smartTag w:uri="urn:schemas-microsoft-com:office:smarttags" w:element="PersonName">
        <w:smartTagPr>
          <w:attr w:name="ProductID" w:val="la Federaci￳n Argentina"/>
        </w:smartTagPr>
        <w:r w:rsidRPr="00C60304">
          <w:rPr>
            <w:rFonts w:ascii="Palatino Linotype" w:hAnsi="Palatino Linotype"/>
            <w:i/>
            <w:sz w:val="20"/>
            <w:szCs w:val="20"/>
            <w:lang w:val="es-MX"/>
          </w:rPr>
          <w:t>la Federación Argentina</w:t>
        </w:r>
      </w:smartTag>
      <w:r w:rsidRPr="00C60304">
        <w:rPr>
          <w:rFonts w:ascii="Palatino Linotype" w:hAnsi="Palatino Linotype"/>
          <w:i/>
          <w:sz w:val="20"/>
          <w:szCs w:val="20"/>
          <w:lang w:val="es-MX"/>
        </w:rPr>
        <w:t xml:space="preserve">  de Consejos Profesionales de Ciencias Económicas a través de su Resolución N° 287/03 y </w:t>
      </w:r>
      <w:smartTag w:uri="urn:schemas-microsoft-com:office:smarttags" w:element="PersonName">
        <w:smartTagPr>
          <w:attr w:name="ProductID" w:val="La Resoluci￳n"/>
        </w:smartTagPr>
        <w:r w:rsidRPr="00C60304">
          <w:rPr>
            <w:rFonts w:ascii="Palatino Linotype" w:hAnsi="Palatino Linotype"/>
            <w:i/>
            <w:sz w:val="20"/>
            <w:szCs w:val="20"/>
            <w:lang w:val="es-MX"/>
          </w:rPr>
          <w:t>la Resolución</w:t>
        </w:r>
      </w:smartTag>
      <w:r w:rsidRPr="00C60304">
        <w:rPr>
          <w:rFonts w:ascii="Palatino Linotype" w:hAnsi="Palatino Linotype"/>
          <w:i/>
          <w:sz w:val="20"/>
          <w:szCs w:val="20"/>
          <w:lang w:val="es-MX"/>
        </w:rPr>
        <w:t xml:space="preserve"> CD N° 3150 del Consejo Profesional de Ciencias Económicas de la Provincia de Buenos Aires que la ratificó, de acuerdo a normas contables profesionales hubiera correspondido  la discontinuación  de la reexpresión a partir del 1° de octubre de 2003;  sin embargo, </w:t>
      </w:r>
      <w:r w:rsidRPr="00C60304">
        <w:rPr>
          <w:rFonts w:ascii="Palatino Linotype" w:hAnsi="Palatino Linotype"/>
          <w:i/>
          <w:sz w:val="20"/>
          <w:szCs w:val="20"/>
        </w:rPr>
        <w:t>los efectos de dichas variaciones operadas entre el … de ….. [fecha hasta la cual se realizó la reexpresión] y el 30 de septiembre de 2003 no fueron significativos</w:t>
      </w:r>
      <w:r w:rsidRPr="00C60304">
        <w:rPr>
          <w:rFonts w:ascii="Palatino Linotype" w:hAnsi="Palatino Linotype"/>
          <w:i/>
          <w:sz w:val="20"/>
          <w:szCs w:val="20"/>
          <w:lang w:val="es-MX"/>
        </w:rPr>
        <w:t>.”</w:t>
      </w:r>
    </w:p>
    <w:p w:rsidR="00C60304" w:rsidRPr="00C60304" w:rsidRDefault="00C60304" w:rsidP="00C60304">
      <w:pPr>
        <w:jc w:val="both"/>
        <w:rPr>
          <w:rFonts w:ascii="Palatino Linotype" w:hAnsi="Palatino Linotype"/>
          <w:sz w:val="20"/>
          <w:szCs w:val="20"/>
          <w:lang w:val="es-MX"/>
        </w:rPr>
      </w:pPr>
    </w:p>
    <w:p w:rsidR="00C60304" w:rsidRPr="00C60304" w:rsidRDefault="00C60304" w:rsidP="00C60304">
      <w:pPr>
        <w:jc w:val="both"/>
        <w:rPr>
          <w:rFonts w:ascii="Palatino Linotype" w:hAnsi="Palatino Linotype"/>
          <w:i/>
          <w:sz w:val="20"/>
          <w:szCs w:val="20"/>
          <w:lang w:val="es-MX"/>
        </w:rPr>
      </w:pPr>
      <w:r w:rsidRPr="00C60304">
        <w:rPr>
          <w:rFonts w:ascii="Palatino Linotype" w:hAnsi="Palatino Linotype"/>
          <w:sz w:val="20"/>
          <w:szCs w:val="20"/>
          <w:lang w:val="es-MX"/>
        </w:rPr>
        <w:t>“</w:t>
      </w:r>
      <w:r w:rsidRPr="00C60304">
        <w:rPr>
          <w:rFonts w:ascii="Palatino Linotype" w:hAnsi="Palatino Linotype"/>
          <w:i/>
          <w:sz w:val="20"/>
          <w:szCs w:val="20"/>
          <w:lang w:val="es-MX"/>
        </w:rPr>
        <w:t>Por lo tanto, la no aplicación del mecanismo de reexpresión de las cifras para reflejar los cambios en el poder adquisitivo de la moneda por haberse discontinuado el empleo del mismo conforme se indica en la presente nota, utilizando a partir de la discontinuación la moneda nominal como moneda homogénea, es concordante con lo establecido por las normas contables profesionales vigentes.”</w:t>
      </w:r>
    </w:p>
    <w:p w:rsidR="00C60304" w:rsidRPr="00C60304" w:rsidRDefault="00C60304" w:rsidP="00C60304">
      <w:pPr>
        <w:jc w:val="both"/>
        <w:rPr>
          <w:rFonts w:ascii="Palatino Linotype" w:hAnsi="Palatino Linotype"/>
          <w:i/>
          <w:sz w:val="20"/>
          <w:szCs w:val="20"/>
          <w:lang w:val="es-MX"/>
        </w:rPr>
      </w:pPr>
    </w:p>
    <w:p w:rsidR="00C60304" w:rsidRPr="00C60304" w:rsidRDefault="00C60304" w:rsidP="00C60304">
      <w:pPr>
        <w:jc w:val="both"/>
        <w:rPr>
          <w:rFonts w:ascii="Palatino Linotype" w:hAnsi="Palatino Linotype"/>
          <w:i/>
          <w:sz w:val="20"/>
          <w:szCs w:val="20"/>
          <w:lang w:val="es-MX"/>
        </w:rPr>
      </w:pPr>
      <w:r w:rsidRPr="00C60304">
        <w:rPr>
          <w:rFonts w:ascii="Palatino Linotype" w:hAnsi="Palatino Linotype"/>
          <w:i/>
          <w:sz w:val="20"/>
          <w:szCs w:val="20"/>
          <w:lang w:val="es-MX"/>
        </w:rPr>
        <w:t xml:space="preserve">[3]Incluir la referencia a </w:t>
      </w:r>
      <w:smartTag w:uri="urn:schemas-microsoft-com:office:smarttags" w:element="PersonName">
        <w:smartTagPr>
          <w:attr w:name="ProductID" w:val="la Resolución CD"/>
        </w:smartTagPr>
        <w:smartTag w:uri="urn:schemas-microsoft-com:office:smarttags" w:element="PersonName">
          <w:smartTagPr>
            <w:attr w:name="ProductID" w:val="la Resolución"/>
          </w:smartTagPr>
          <w:r w:rsidRPr="00C60304">
            <w:rPr>
              <w:rFonts w:ascii="Palatino Linotype" w:hAnsi="Palatino Linotype"/>
              <w:i/>
              <w:sz w:val="20"/>
              <w:szCs w:val="20"/>
              <w:lang w:val="es-MX"/>
            </w:rPr>
            <w:t>la Resolución</w:t>
          </w:r>
        </w:smartTag>
        <w:r w:rsidRPr="00C60304">
          <w:rPr>
            <w:rFonts w:ascii="Palatino Linotype" w:hAnsi="Palatino Linotype"/>
            <w:i/>
            <w:sz w:val="20"/>
            <w:szCs w:val="20"/>
            <w:lang w:val="es-MX"/>
          </w:rPr>
          <w:t xml:space="preserve"> CD</w:t>
        </w:r>
      </w:smartTag>
      <w:r w:rsidRPr="00C60304">
        <w:rPr>
          <w:rFonts w:ascii="Palatino Linotype" w:hAnsi="Palatino Linotype"/>
          <w:i/>
          <w:sz w:val="20"/>
          <w:szCs w:val="20"/>
          <w:lang w:val="es-MX"/>
        </w:rPr>
        <w:t xml:space="preserve"> aprobatoria de </w:t>
      </w:r>
      <w:smartTag w:uri="urn:schemas-microsoft-com:office:smarttags" w:element="PersonName">
        <w:smartTagPr>
          <w:attr w:name="ProductID" w:val="la Resolución Técnica"/>
        </w:smartTagPr>
        <w:smartTag w:uri="urn:schemas-microsoft-com:office:smarttags" w:element="PersonName">
          <w:smartTagPr>
            <w:attr w:name="ProductID" w:val="la Resolución"/>
          </w:smartTagPr>
          <w:r w:rsidRPr="00C60304">
            <w:rPr>
              <w:rFonts w:ascii="Palatino Linotype" w:hAnsi="Palatino Linotype"/>
              <w:i/>
              <w:sz w:val="20"/>
              <w:szCs w:val="20"/>
              <w:lang w:val="es-MX"/>
            </w:rPr>
            <w:t>la Resolución</w:t>
          </w:r>
        </w:smartTag>
        <w:r w:rsidRPr="00C60304">
          <w:rPr>
            <w:rFonts w:ascii="Palatino Linotype" w:hAnsi="Palatino Linotype"/>
            <w:i/>
            <w:sz w:val="20"/>
            <w:szCs w:val="20"/>
            <w:lang w:val="es-MX"/>
          </w:rPr>
          <w:t xml:space="preserve"> Técnica</w:t>
        </w:r>
      </w:smartTag>
      <w:r w:rsidRPr="00C60304">
        <w:rPr>
          <w:rFonts w:ascii="Palatino Linotype" w:hAnsi="Palatino Linotype"/>
          <w:i/>
          <w:sz w:val="20"/>
          <w:szCs w:val="20"/>
          <w:lang w:val="es-MX"/>
        </w:rPr>
        <w:t xml:space="preserve"> N° 41 si no se ha indicado esa información en otra parte de la información complementaria.</w:t>
      </w:r>
    </w:p>
    <w:p w:rsidR="00C60304" w:rsidRPr="00C60304" w:rsidRDefault="00C60304" w:rsidP="00C60304">
      <w:pPr>
        <w:jc w:val="both"/>
        <w:rPr>
          <w:rFonts w:ascii="Palatino Linotype" w:hAnsi="Palatino Linotype"/>
          <w:sz w:val="20"/>
          <w:szCs w:val="20"/>
          <w:lang w:val="es-MX"/>
        </w:rPr>
      </w:pPr>
    </w:p>
    <w:p w:rsidR="00C60304" w:rsidRPr="00C60304" w:rsidRDefault="00C60304" w:rsidP="00C60304">
      <w:pPr>
        <w:jc w:val="both"/>
        <w:rPr>
          <w:rFonts w:ascii="Palatino Linotype" w:hAnsi="Palatino Linotype"/>
          <w:sz w:val="20"/>
          <w:szCs w:val="20"/>
          <w:lang w:val="es-MX"/>
        </w:rPr>
      </w:pPr>
    </w:p>
    <w:p w:rsidR="00C60304" w:rsidRPr="00C60304" w:rsidRDefault="00C60304" w:rsidP="00C60304">
      <w:pPr>
        <w:jc w:val="center"/>
        <w:rPr>
          <w:rFonts w:ascii="Palatino Linotype" w:hAnsi="Palatino Linotype"/>
          <w:b/>
          <w:i/>
          <w:sz w:val="20"/>
          <w:szCs w:val="20"/>
          <w:u w:val="single"/>
          <w:lang w:val="es-MX"/>
        </w:rPr>
      </w:pPr>
      <w:r w:rsidRPr="00C60304">
        <w:rPr>
          <w:rFonts w:ascii="Palatino Linotype" w:hAnsi="Palatino Linotype"/>
          <w:b/>
          <w:i/>
          <w:sz w:val="20"/>
          <w:szCs w:val="20"/>
          <w:u w:val="single"/>
          <w:lang w:val="es-MX"/>
        </w:rPr>
        <w:t>Modelo II de Nota sobre Unidad de Medida</w:t>
      </w:r>
    </w:p>
    <w:p w:rsidR="00C60304" w:rsidRPr="00C60304" w:rsidRDefault="00C60304" w:rsidP="00C60304">
      <w:pPr>
        <w:jc w:val="both"/>
        <w:rPr>
          <w:rFonts w:ascii="Palatino Linotype" w:hAnsi="Palatino Linotype"/>
          <w:sz w:val="20"/>
          <w:szCs w:val="20"/>
          <w:lang w:val="es-MX"/>
        </w:rPr>
      </w:pPr>
    </w:p>
    <w:p w:rsidR="00C60304" w:rsidRPr="00C60304" w:rsidRDefault="00C60304" w:rsidP="00C60304">
      <w:pPr>
        <w:jc w:val="both"/>
        <w:rPr>
          <w:rFonts w:ascii="Palatino Linotype" w:hAnsi="Palatino Linotype"/>
          <w:b/>
          <w:i/>
          <w:sz w:val="20"/>
          <w:szCs w:val="20"/>
          <w:lang w:val="es-MX"/>
        </w:rPr>
      </w:pPr>
      <w:r w:rsidRPr="00C60304">
        <w:rPr>
          <w:rFonts w:ascii="Palatino Linotype" w:hAnsi="Palatino Linotype"/>
          <w:b/>
          <w:i/>
          <w:sz w:val="20"/>
          <w:szCs w:val="20"/>
          <w:u w:val="single"/>
          <w:lang w:val="es-MX"/>
        </w:rPr>
        <w:t>Caso:</w:t>
      </w:r>
      <w:r w:rsidRPr="00C60304">
        <w:rPr>
          <w:rFonts w:ascii="Palatino Linotype" w:hAnsi="Palatino Linotype"/>
          <w:sz w:val="20"/>
          <w:szCs w:val="20"/>
          <w:lang w:val="es-MX"/>
        </w:rPr>
        <w:t xml:space="preserve"> </w:t>
      </w:r>
      <w:r w:rsidRPr="00C60304">
        <w:rPr>
          <w:rFonts w:ascii="Palatino Linotype" w:hAnsi="Palatino Linotype"/>
          <w:i/>
          <w:sz w:val="20"/>
          <w:szCs w:val="20"/>
        </w:rPr>
        <w:t>El ente n</w:t>
      </w:r>
      <w:r w:rsidRPr="00C60304">
        <w:rPr>
          <w:rFonts w:ascii="Palatino Linotype" w:hAnsi="Palatino Linotype"/>
          <w:i/>
          <w:sz w:val="20"/>
          <w:szCs w:val="20"/>
          <w:lang w:val="es-MX"/>
        </w:rPr>
        <w:t>o ha practicado la reexpresión de las cifras de los estados contables en períodos anteriores en virtud  de que la fecha de constitución del ente es posterior a la vigencia de la Resolución JG FACPCE 287/03, ratificada por la Resolución CD N° 3150, y lo establecido por las normas contables profesionales.</w:t>
      </w:r>
    </w:p>
    <w:p w:rsidR="00C60304" w:rsidRPr="00C60304" w:rsidRDefault="00C60304" w:rsidP="00C60304">
      <w:pPr>
        <w:jc w:val="both"/>
        <w:rPr>
          <w:rFonts w:ascii="Palatino Linotype" w:hAnsi="Palatino Linotype"/>
          <w:sz w:val="20"/>
          <w:szCs w:val="20"/>
          <w:lang w:val="es-MX"/>
        </w:rPr>
      </w:pPr>
    </w:p>
    <w:p w:rsidR="00C60304" w:rsidRPr="00C60304" w:rsidRDefault="00C60304" w:rsidP="00C60304">
      <w:pPr>
        <w:jc w:val="both"/>
        <w:rPr>
          <w:rFonts w:ascii="Palatino Linotype" w:hAnsi="Palatino Linotype"/>
          <w:b/>
          <w:i/>
          <w:sz w:val="20"/>
          <w:szCs w:val="20"/>
          <w:u w:val="single"/>
          <w:lang w:val="es-MX"/>
        </w:rPr>
      </w:pPr>
      <w:r w:rsidRPr="00C60304">
        <w:rPr>
          <w:rFonts w:ascii="Palatino Linotype" w:hAnsi="Palatino Linotype"/>
          <w:b/>
          <w:i/>
          <w:sz w:val="20"/>
          <w:szCs w:val="20"/>
          <w:u w:val="single"/>
          <w:lang w:val="es-MX"/>
        </w:rPr>
        <w:t>Unidad de Medida.</w:t>
      </w:r>
    </w:p>
    <w:p w:rsidR="00C60304" w:rsidRPr="00C60304" w:rsidRDefault="00C60304" w:rsidP="00C60304">
      <w:pPr>
        <w:jc w:val="both"/>
        <w:rPr>
          <w:rFonts w:ascii="Palatino Linotype" w:hAnsi="Palatino Linotype"/>
          <w:b/>
          <w:i/>
          <w:sz w:val="20"/>
          <w:szCs w:val="20"/>
          <w:u w:val="single"/>
          <w:lang w:val="es-MX"/>
        </w:rPr>
      </w:pPr>
    </w:p>
    <w:p w:rsidR="00C60304" w:rsidRPr="00C60304" w:rsidRDefault="00C60304" w:rsidP="00C60304">
      <w:pPr>
        <w:jc w:val="both"/>
        <w:rPr>
          <w:rFonts w:ascii="Palatino Linotype" w:hAnsi="Palatino Linotype"/>
          <w:i/>
          <w:sz w:val="20"/>
          <w:szCs w:val="20"/>
          <w:lang w:val="es-MX"/>
        </w:rPr>
      </w:pPr>
      <w:r w:rsidRPr="00C60304">
        <w:rPr>
          <w:rFonts w:ascii="Palatino Linotype" w:hAnsi="Palatino Linotype"/>
          <w:i/>
          <w:sz w:val="20"/>
          <w:szCs w:val="20"/>
          <w:lang w:val="es-MX"/>
        </w:rPr>
        <w:t xml:space="preserve">Los estados contables han sido preparados en moneda nominal, utilizando dicha moneda como moneda homogénea de conformidad a lo establecido en la </w:t>
      </w:r>
      <w:r w:rsidRPr="00C60304">
        <w:rPr>
          <w:rFonts w:ascii="Palatino Linotype" w:hAnsi="Palatino Linotype"/>
          <w:b/>
          <w:i/>
          <w:sz w:val="20"/>
          <w:szCs w:val="20"/>
          <w:lang w:val="es-MX"/>
        </w:rPr>
        <w:t xml:space="preserve"> </w:t>
      </w:r>
      <w:r w:rsidRPr="00C60304">
        <w:rPr>
          <w:rFonts w:ascii="Palatino Linotype" w:hAnsi="Palatino Linotype"/>
          <w:i/>
          <w:sz w:val="20"/>
          <w:szCs w:val="20"/>
          <w:lang w:val="es-MX"/>
        </w:rPr>
        <w:t>Resolución Técnica N° 41,</w:t>
      </w:r>
      <w:r w:rsidR="005B3597">
        <w:rPr>
          <w:rFonts w:ascii="Palatino Linotype" w:hAnsi="Palatino Linotype"/>
          <w:i/>
          <w:sz w:val="20"/>
          <w:szCs w:val="20"/>
          <w:lang w:val="es-MX"/>
        </w:rPr>
        <w:t xml:space="preserve"> 2da. Parte </w:t>
      </w:r>
      <w:r w:rsidR="005B3597" w:rsidRPr="00A015AF">
        <w:rPr>
          <w:rFonts w:ascii="Palatino Linotype" w:hAnsi="Palatino Linotype"/>
          <w:b/>
          <w:i/>
          <w:sz w:val="20"/>
          <w:szCs w:val="20"/>
          <w:lang w:val="es-MX"/>
        </w:rPr>
        <w:t>[3ra.Parte</w:t>
      </w:r>
      <w:r w:rsidR="005B3597">
        <w:rPr>
          <w:rFonts w:ascii="Palatino Linotype" w:hAnsi="Palatino Linotype"/>
          <w:b/>
          <w:i/>
          <w:sz w:val="20"/>
          <w:szCs w:val="20"/>
          <w:lang w:val="es-MX"/>
        </w:rPr>
        <w:t>]</w:t>
      </w:r>
      <w:r w:rsidR="005B3597" w:rsidRPr="005B3597">
        <w:rPr>
          <w:rFonts w:ascii="Palatino Linotype" w:hAnsi="Palatino Linotype"/>
          <w:i/>
          <w:sz w:val="20"/>
          <w:szCs w:val="20"/>
          <w:lang w:val="es-MX"/>
        </w:rPr>
        <w:t>,</w:t>
      </w:r>
      <w:r w:rsidR="005B3597">
        <w:rPr>
          <w:rFonts w:ascii="Palatino Linotype" w:hAnsi="Palatino Linotype"/>
          <w:i/>
          <w:sz w:val="20"/>
          <w:szCs w:val="20"/>
          <w:lang w:val="es-MX"/>
        </w:rPr>
        <w:t xml:space="preserve"> </w:t>
      </w:r>
      <w:r w:rsidRPr="00C60304">
        <w:rPr>
          <w:rFonts w:ascii="Palatino Linotype" w:hAnsi="Palatino Linotype"/>
          <w:i/>
          <w:sz w:val="20"/>
          <w:szCs w:val="20"/>
          <w:lang w:val="es-MX"/>
        </w:rPr>
        <w:t xml:space="preserve"> Sección 2, Pto. 2.6., en virtud de que la sociedad ha sido constituida el 20 de enero de 2004 </w:t>
      </w:r>
      <w:r w:rsidRPr="00C60304">
        <w:rPr>
          <w:rFonts w:ascii="Palatino Linotype" w:hAnsi="Palatino Linotype"/>
          <w:b/>
          <w:i/>
          <w:sz w:val="20"/>
          <w:szCs w:val="20"/>
          <w:lang w:val="es-MX"/>
        </w:rPr>
        <w:t>[1]</w:t>
      </w:r>
      <w:r w:rsidRPr="00C60304">
        <w:rPr>
          <w:rFonts w:ascii="Palatino Linotype" w:hAnsi="Palatino Linotype"/>
          <w:i/>
          <w:sz w:val="20"/>
          <w:szCs w:val="20"/>
          <w:lang w:val="es-MX"/>
        </w:rPr>
        <w:t xml:space="preserve">, aplicándose desde esa fecha la Resolución  CD 3150 del Consejo Profesional de Ciencias Económicas de la Provincia de Buenos Aires, que ratificó lo dispuesto por la Resolución N° 287/03 de la Federación Argentina  de Consejos Profesionales de Ciencias Económicas, a partir del 20 de diciembre de 2013 la Resolución Técnica N° 39 con su normativa complementaria y, actualmente, </w:t>
      </w:r>
      <w:r w:rsidRPr="00754A4A">
        <w:rPr>
          <w:rFonts w:ascii="Palatino Linotype" w:hAnsi="Palatino Linotype"/>
          <w:i/>
          <w:sz w:val="20"/>
          <w:szCs w:val="20"/>
          <w:lang w:val="es-MX"/>
        </w:rPr>
        <w:t>la Resolución Técnica N° 41</w:t>
      </w:r>
      <w:r w:rsidR="00754A4A" w:rsidRPr="00754A4A">
        <w:rPr>
          <w:rFonts w:ascii="Palatino Linotype" w:hAnsi="Palatino Linotype"/>
          <w:i/>
          <w:sz w:val="20"/>
          <w:szCs w:val="20"/>
          <w:lang w:val="es-MX"/>
        </w:rPr>
        <w:t xml:space="preserve">, 2da. Parte </w:t>
      </w:r>
      <w:r w:rsidR="00754A4A" w:rsidRPr="00754A4A">
        <w:rPr>
          <w:rFonts w:ascii="Palatino Linotype" w:hAnsi="Palatino Linotype"/>
          <w:b/>
          <w:i/>
          <w:sz w:val="20"/>
          <w:szCs w:val="20"/>
          <w:lang w:val="es-MX"/>
        </w:rPr>
        <w:t>[3ra. Parte]</w:t>
      </w:r>
      <w:r w:rsidRPr="00754A4A">
        <w:rPr>
          <w:rFonts w:ascii="Palatino Linotype" w:hAnsi="Palatino Linotype"/>
          <w:b/>
          <w:i/>
          <w:sz w:val="20"/>
          <w:szCs w:val="20"/>
          <w:lang w:val="es-MX"/>
        </w:rPr>
        <w:t>.</w:t>
      </w:r>
    </w:p>
    <w:p w:rsidR="00C60304" w:rsidRPr="00C60304" w:rsidRDefault="00C60304" w:rsidP="00C60304">
      <w:pPr>
        <w:jc w:val="both"/>
        <w:rPr>
          <w:rFonts w:ascii="Palatino Linotype" w:hAnsi="Palatino Linotype"/>
          <w:i/>
          <w:sz w:val="20"/>
          <w:szCs w:val="20"/>
          <w:lang w:val="es-MX"/>
        </w:rPr>
      </w:pPr>
    </w:p>
    <w:p w:rsidR="00C60304" w:rsidRPr="00C60304" w:rsidRDefault="00C60304" w:rsidP="00C60304">
      <w:pPr>
        <w:jc w:val="both"/>
        <w:rPr>
          <w:rFonts w:ascii="Palatino Linotype" w:hAnsi="Palatino Linotype"/>
          <w:i/>
          <w:sz w:val="20"/>
          <w:szCs w:val="20"/>
          <w:lang w:val="es-MX"/>
        </w:rPr>
      </w:pPr>
      <w:smartTag w:uri="urn:schemas-microsoft-com:office:smarttags" w:element="PersonName">
        <w:smartTagPr>
          <w:attr w:name="ProductID" w:val="la Federaci￳n Argentina"/>
        </w:smartTagPr>
        <w:r w:rsidRPr="00C60304">
          <w:rPr>
            <w:rFonts w:ascii="Palatino Linotype" w:hAnsi="Palatino Linotype"/>
            <w:i/>
            <w:sz w:val="20"/>
            <w:szCs w:val="20"/>
            <w:lang w:val="es-MX"/>
          </w:rPr>
          <w:t>La Federación Argentina</w:t>
        </w:r>
      </w:smartTag>
      <w:r w:rsidRPr="00C60304">
        <w:rPr>
          <w:rFonts w:ascii="Palatino Linotype" w:hAnsi="Palatino Linotype"/>
          <w:i/>
          <w:sz w:val="20"/>
          <w:szCs w:val="20"/>
          <w:lang w:val="es-MX"/>
        </w:rPr>
        <w:t xml:space="preserve">  de Consejos Profesionales de Ciencias Económicas a través de su Resolución N° 287/03, estableció la discontinuación de la reexpresión para reflejar las variaciones en el poder adquisitivo de la moneda a partir del 1° de octubre de 2003, criterio ratificado por </w:t>
      </w:r>
      <w:smartTag w:uri="urn:schemas-microsoft-com:office:smarttags" w:element="PersonName">
        <w:smartTagPr>
          <w:attr w:name="ProductID" w:val="㎐"/>
        </w:smartTagPr>
        <w:smartTag w:uri="urn:schemas-microsoft-com:office:smarttags" w:element="PersonName">
          <w:smartTagPr>
            <w:attr w:name="ProductID" w:val="la Resoluci￳n CD"/>
          </w:smartTagPr>
          <w:r w:rsidRPr="00C60304">
            <w:rPr>
              <w:rFonts w:ascii="Palatino Linotype" w:hAnsi="Palatino Linotype"/>
              <w:i/>
              <w:sz w:val="20"/>
              <w:szCs w:val="20"/>
              <w:lang w:val="es-MX"/>
            </w:rPr>
            <w:t>la Resolución CD</w:t>
          </w:r>
        </w:smartTag>
        <w:r w:rsidRPr="00C60304">
          <w:rPr>
            <w:rFonts w:ascii="Palatino Linotype" w:hAnsi="Palatino Linotype"/>
            <w:i/>
            <w:sz w:val="20"/>
            <w:szCs w:val="20"/>
            <w:lang w:val="es-MX"/>
          </w:rPr>
          <w:t xml:space="preserve"> N</w:t>
        </w:r>
      </w:smartTag>
      <w:r w:rsidRPr="00C60304">
        <w:rPr>
          <w:rFonts w:ascii="Palatino Linotype" w:hAnsi="Palatino Linotype"/>
          <w:i/>
          <w:sz w:val="20"/>
          <w:szCs w:val="20"/>
          <w:lang w:val="es-MX"/>
        </w:rPr>
        <w:t>° 3150 del Consejo Profesional de Ciencias Económicas de la Provincia de Buenos Aires.</w:t>
      </w:r>
    </w:p>
    <w:p w:rsidR="00C60304" w:rsidRPr="00C60304" w:rsidRDefault="00C60304" w:rsidP="00C60304">
      <w:pPr>
        <w:jc w:val="both"/>
        <w:rPr>
          <w:rFonts w:ascii="Palatino Linotype" w:hAnsi="Palatino Linotype"/>
          <w:i/>
          <w:sz w:val="20"/>
          <w:szCs w:val="20"/>
          <w:lang w:val="es-MX"/>
        </w:rPr>
      </w:pPr>
    </w:p>
    <w:p w:rsidR="00C60304" w:rsidRPr="00C60304" w:rsidRDefault="00C60304" w:rsidP="00C60304">
      <w:pPr>
        <w:jc w:val="both"/>
        <w:rPr>
          <w:rFonts w:ascii="Palatino Linotype" w:hAnsi="Palatino Linotype"/>
          <w:i/>
          <w:sz w:val="20"/>
          <w:szCs w:val="20"/>
          <w:lang w:val="es-MX"/>
        </w:rPr>
      </w:pPr>
      <w:r w:rsidRPr="00C60304">
        <w:rPr>
          <w:rFonts w:ascii="Palatino Linotype" w:hAnsi="Palatino Linotype"/>
          <w:i/>
          <w:sz w:val="20"/>
          <w:szCs w:val="20"/>
          <w:lang w:val="es-MX"/>
        </w:rPr>
        <w:t>A partir de la Resolución Técnica N° 39, aprobada por Resolución CD N° 3519 del Consejo Profesional de Ciencias Económicas de la Provincia de Buenos Aires con fecha 20 de diciembre de 2013, y  de su normativa técnica complementaria,</w:t>
      </w:r>
      <w:r w:rsidR="005B3597">
        <w:rPr>
          <w:rFonts w:ascii="Palatino Linotype" w:hAnsi="Palatino Linotype"/>
          <w:i/>
          <w:sz w:val="20"/>
          <w:szCs w:val="20"/>
          <w:lang w:val="es-MX"/>
        </w:rPr>
        <w:t xml:space="preserve"> actualmente la Interpretación N° 8 de Normas Profesionales,</w:t>
      </w:r>
      <w:r w:rsidRPr="00C60304">
        <w:rPr>
          <w:rFonts w:ascii="Palatino Linotype" w:hAnsi="Palatino Linotype"/>
          <w:i/>
          <w:sz w:val="20"/>
          <w:szCs w:val="20"/>
          <w:lang w:val="es-MX"/>
        </w:rPr>
        <w:t xml:space="preserve">  la necesidad de reexpresar los estados contables para reflejar los cambios en el poder adquisitivo de la moneda viene indicada por la existencia o no de un contexto de inflación tal que lleve a calificar a la economía de altamente inflacionaria.  La Resoluci</w:t>
      </w:r>
      <w:r w:rsidR="005B3597">
        <w:rPr>
          <w:rFonts w:ascii="Palatino Linotype" w:hAnsi="Palatino Linotype"/>
          <w:i/>
          <w:sz w:val="20"/>
          <w:szCs w:val="20"/>
          <w:lang w:val="es-MX"/>
        </w:rPr>
        <w:t>ó</w:t>
      </w:r>
      <w:r w:rsidRPr="00C60304">
        <w:rPr>
          <w:rFonts w:ascii="Palatino Linotype" w:hAnsi="Palatino Linotype"/>
          <w:i/>
          <w:sz w:val="20"/>
          <w:szCs w:val="20"/>
          <w:lang w:val="es-MX"/>
        </w:rPr>
        <w:t xml:space="preserve">n Técnica N° 41, </w:t>
      </w:r>
      <w:r w:rsidR="00754A4A">
        <w:rPr>
          <w:rFonts w:ascii="Palatino Linotype" w:hAnsi="Palatino Linotype"/>
          <w:i/>
          <w:sz w:val="20"/>
          <w:szCs w:val="20"/>
          <w:lang w:val="es-MX"/>
        </w:rPr>
        <w:t xml:space="preserve">2da. Parte </w:t>
      </w:r>
      <w:r w:rsidR="00754A4A" w:rsidRPr="00A015AF">
        <w:rPr>
          <w:rFonts w:ascii="Palatino Linotype" w:hAnsi="Palatino Linotype"/>
          <w:b/>
          <w:i/>
          <w:sz w:val="20"/>
          <w:szCs w:val="20"/>
          <w:lang w:val="es-MX"/>
        </w:rPr>
        <w:t>[3ra.Parte</w:t>
      </w:r>
      <w:r w:rsidR="005B3597">
        <w:rPr>
          <w:rFonts w:ascii="Palatino Linotype" w:hAnsi="Palatino Linotype"/>
          <w:b/>
          <w:i/>
          <w:sz w:val="20"/>
          <w:szCs w:val="20"/>
          <w:lang w:val="es-MX"/>
        </w:rPr>
        <w:t>]</w:t>
      </w:r>
      <w:r w:rsidR="005B3597" w:rsidRPr="005B3597">
        <w:rPr>
          <w:rFonts w:ascii="Palatino Linotype" w:hAnsi="Palatino Linotype"/>
          <w:i/>
          <w:sz w:val="20"/>
          <w:szCs w:val="20"/>
          <w:lang w:val="es-MX"/>
        </w:rPr>
        <w:t>,</w:t>
      </w:r>
      <w:r w:rsidR="00754A4A">
        <w:rPr>
          <w:rFonts w:ascii="Palatino Linotype" w:hAnsi="Palatino Linotype"/>
          <w:b/>
          <w:i/>
          <w:sz w:val="20"/>
          <w:szCs w:val="20"/>
          <w:lang w:val="es-MX"/>
        </w:rPr>
        <w:t xml:space="preserve"> </w:t>
      </w:r>
      <w:r w:rsidR="00754A4A" w:rsidRPr="005B3597">
        <w:rPr>
          <w:rFonts w:ascii="Palatino Linotype" w:hAnsi="Palatino Linotype"/>
          <w:i/>
          <w:sz w:val="20"/>
          <w:szCs w:val="20"/>
          <w:lang w:val="es-MX"/>
        </w:rPr>
        <w:t>(Resoluciones CD N° 3563 y 3596)</w:t>
      </w:r>
      <w:r w:rsidR="00754A4A" w:rsidRPr="00A015AF">
        <w:rPr>
          <w:rFonts w:ascii="Palatino Linotype" w:hAnsi="Palatino Linotype"/>
          <w:i/>
          <w:sz w:val="20"/>
          <w:szCs w:val="20"/>
          <w:lang w:val="es-MX"/>
        </w:rPr>
        <w:t xml:space="preserve"> </w:t>
      </w:r>
      <w:r w:rsidR="00754A4A" w:rsidRPr="00A015AF">
        <w:rPr>
          <w:rFonts w:ascii="Palatino Linotype" w:hAnsi="Palatino Linotype"/>
          <w:b/>
          <w:i/>
          <w:sz w:val="20"/>
          <w:szCs w:val="20"/>
          <w:lang w:val="es-MX"/>
        </w:rPr>
        <w:t>[</w:t>
      </w:r>
      <w:r w:rsidR="00754A4A">
        <w:rPr>
          <w:rFonts w:ascii="Palatino Linotype" w:hAnsi="Palatino Linotype"/>
          <w:b/>
          <w:i/>
          <w:sz w:val="20"/>
          <w:szCs w:val="20"/>
          <w:lang w:val="es-MX"/>
        </w:rPr>
        <w:t>2</w:t>
      </w:r>
      <w:r w:rsidR="00754A4A" w:rsidRPr="00A015AF">
        <w:rPr>
          <w:rFonts w:ascii="Palatino Linotype" w:hAnsi="Palatino Linotype"/>
          <w:b/>
          <w:i/>
          <w:sz w:val="20"/>
          <w:szCs w:val="20"/>
          <w:lang w:val="es-MX"/>
        </w:rPr>
        <w:t>]</w:t>
      </w:r>
      <w:r w:rsidRPr="00C60304">
        <w:rPr>
          <w:rFonts w:ascii="Palatino Linotype" w:hAnsi="Palatino Linotype"/>
          <w:b/>
          <w:i/>
          <w:sz w:val="20"/>
          <w:szCs w:val="20"/>
          <w:lang w:val="es-MX"/>
        </w:rPr>
        <w:t xml:space="preserve"> </w:t>
      </w:r>
      <w:r w:rsidRPr="00C60304">
        <w:rPr>
          <w:rFonts w:ascii="Palatino Linotype" w:hAnsi="Palatino Linotype"/>
          <w:i/>
          <w:sz w:val="20"/>
          <w:szCs w:val="20"/>
          <w:lang w:val="es-MX"/>
        </w:rPr>
        <w:t>que se ha aplicado en la preparación de los presentes estados contables, establece  en esencia idéntico criterio.</w:t>
      </w:r>
    </w:p>
    <w:p w:rsidR="00C60304" w:rsidRPr="00C60304" w:rsidRDefault="00C60304" w:rsidP="00C60304">
      <w:pPr>
        <w:jc w:val="both"/>
        <w:rPr>
          <w:rFonts w:ascii="Palatino Linotype" w:hAnsi="Palatino Linotype"/>
          <w:i/>
          <w:sz w:val="20"/>
          <w:szCs w:val="20"/>
          <w:lang w:val="es-MX"/>
        </w:rPr>
      </w:pPr>
    </w:p>
    <w:p w:rsidR="00C60304" w:rsidRDefault="00C60304" w:rsidP="00C60304">
      <w:pPr>
        <w:jc w:val="both"/>
        <w:rPr>
          <w:rFonts w:ascii="Palatino Linotype" w:hAnsi="Palatino Linotype"/>
          <w:i/>
          <w:sz w:val="20"/>
          <w:szCs w:val="20"/>
          <w:lang w:val="es-MX"/>
        </w:rPr>
      </w:pPr>
      <w:r w:rsidRPr="00C60304">
        <w:rPr>
          <w:rFonts w:ascii="Palatino Linotype" w:hAnsi="Palatino Linotype"/>
          <w:i/>
          <w:sz w:val="20"/>
          <w:szCs w:val="20"/>
          <w:lang w:val="es-MX"/>
        </w:rPr>
        <w:t>A los fines de identificar la existencia de un entorno económico con tales características, la RT N° 41 brinda una pauta cuantitativa que es condición necesaria para proceder a reexpresar las cifras de los estados contables, dicha pauta consiste en que la tasa acumulada de inflación en tres años, considerando el Índice de Precios Internos al por Mayor elaborado por el Instituto Nacional de Estadísticas y Censos (INDEC), alcance o sobrepase el 100%. También la norma proporciona una serie de pautas cualitativas que serían de utilidad para determinar si corresponde efectuar la referida reexpresión en un escenario en que existiera ausencia prolongada de un índice oficial de precios.</w:t>
      </w:r>
    </w:p>
    <w:p w:rsidR="005B3597" w:rsidRPr="00C60304" w:rsidRDefault="005B3597" w:rsidP="00C60304">
      <w:pPr>
        <w:jc w:val="both"/>
        <w:rPr>
          <w:rFonts w:ascii="Palatino Linotype" w:hAnsi="Palatino Linotype"/>
          <w:i/>
          <w:sz w:val="20"/>
          <w:szCs w:val="20"/>
          <w:lang w:val="es-MX"/>
        </w:rPr>
      </w:pPr>
    </w:p>
    <w:p w:rsidR="009628CF" w:rsidRPr="00C60304" w:rsidRDefault="009628CF" w:rsidP="009628CF">
      <w:pPr>
        <w:jc w:val="both"/>
        <w:rPr>
          <w:rFonts w:ascii="Palatino Linotype" w:hAnsi="Palatino Linotype"/>
          <w:i/>
          <w:sz w:val="20"/>
          <w:szCs w:val="20"/>
        </w:rPr>
      </w:pPr>
      <w:r w:rsidRPr="00C60304">
        <w:rPr>
          <w:rFonts w:ascii="Palatino Linotype" w:hAnsi="Palatino Linotype"/>
          <w:i/>
          <w:sz w:val="20"/>
          <w:szCs w:val="20"/>
        </w:rPr>
        <w:t>Con fecha 07 de enero de 2016 el Poder Ejecutivo Nacional declaró en estado de emergencia administrativa al Sistema Estadístico Nacional y a su órgano rector, el INDEC y, en el marco de la emergencia, el INDEC discontinuó la emisión del Índice de Precios Internos al por Mayor (IPIM) durante los meses de noviembre y diciembre del año 2015. La publicación del IPIM</w:t>
      </w:r>
      <w:r w:rsidR="005B3597">
        <w:rPr>
          <w:rFonts w:ascii="Palatino Linotype" w:hAnsi="Palatino Linotype"/>
          <w:i/>
          <w:sz w:val="20"/>
          <w:szCs w:val="20"/>
        </w:rPr>
        <w:t xml:space="preserve"> (expresado en términos de variación mensual)</w:t>
      </w:r>
      <w:r w:rsidRPr="00C60304">
        <w:rPr>
          <w:rFonts w:ascii="Palatino Linotype" w:hAnsi="Palatino Linotype"/>
          <w:i/>
          <w:sz w:val="20"/>
          <w:szCs w:val="20"/>
        </w:rPr>
        <w:t xml:space="preserve"> ha sido retomada por el mencionado Instituto desde el mes de enero de 2016.</w:t>
      </w:r>
    </w:p>
    <w:p w:rsidR="009628CF" w:rsidRDefault="009628CF" w:rsidP="009628CF">
      <w:pPr>
        <w:jc w:val="both"/>
        <w:rPr>
          <w:rFonts w:ascii="Palatino Linotype" w:hAnsi="Palatino Linotype"/>
          <w:i/>
          <w:sz w:val="20"/>
          <w:szCs w:val="20"/>
        </w:rPr>
      </w:pPr>
    </w:p>
    <w:p w:rsidR="009628CF" w:rsidRPr="00C60304" w:rsidRDefault="009628CF" w:rsidP="009628CF">
      <w:pPr>
        <w:jc w:val="both"/>
        <w:rPr>
          <w:rFonts w:ascii="Palatino Linotype" w:hAnsi="Palatino Linotype"/>
          <w:i/>
          <w:sz w:val="20"/>
          <w:szCs w:val="20"/>
        </w:rPr>
      </w:pPr>
      <w:r w:rsidRPr="00C60304">
        <w:rPr>
          <w:rFonts w:ascii="Palatino Linotype" w:hAnsi="Palatino Linotype"/>
          <w:i/>
          <w:sz w:val="20"/>
          <w:szCs w:val="20"/>
        </w:rPr>
        <w:t xml:space="preserve">Ante  lo establecido por la mencionada </w:t>
      </w:r>
      <w:r>
        <w:rPr>
          <w:rFonts w:ascii="Palatino Linotype" w:hAnsi="Palatino Linotype"/>
          <w:i/>
          <w:sz w:val="20"/>
          <w:szCs w:val="20"/>
        </w:rPr>
        <w:t>Resolución Técnica N° 41</w:t>
      </w:r>
      <w:r w:rsidRPr="00C60304">
        <w:rPr>
          <w:rFonts w:ascii="Palatino Linotype" w:hAnsi="Palatino Linotype"/>
          <w:i/>
          <w:sz w:val="20"/>
          <w:szCs w:val="20"/>
        </w:rPr>
        <w:t xml:space="preserve"> y la falta de la información emitida por el INDEC sobre la evolución del IPIM correspondiente a los dos últimos meses del año 2015, al efecto de evaluar si se ha alcanzado o sobrepasado la pauta cuantitativa señalada se han considerado dichos meses como “sin datos”.  Con la aplicación del criterio indicado, la evolución del IPIM durante el trienio cerrado al 30 de junio de 2016 que es objetivamente determinable con la información de precios internos al por mayor proporcionada por el INDEC no alcanza el 100%.   </w:t>
      </w:r>
    </w:p>
    <w:p w:rsidR="00C60304" w:rsidRPr="009628CF" w:rsidRDefault="00C60304" w:rsidP="00C60304">
      <w:pPr>
        <w:jc w:val="both"/>
        <w:rPr>
          <w:rFonts w:ascii="Palatino Linotype" w:hAnsi="Palatino Linotype"/>
          <w:i/>
          <w:sz w:val="20"/>
          <w:szCs w:val="20"/>
        </w:rPr>
      </w:pPr>
    </w:p>
    <w:p w:rsidR="00C60304" w:rsidRPr="00C60304" w:rsidRDefault="00C60304" w:rsidP="00C60304">
      <w:pPr>
        <w:jc w:val="both"/>
        <w:rPr>
          <w:rFonts w:ascii="Palatino Linotype" w:hAnsi="Palatino Linotype"/>
          <w:b/>
          <w:i/>
          <w:sz w:val="20"/>
          <w:szCs w:val="20"/>
          <w:lang w:val="es-MX"/>
        </w:rPr>
      </w:pPr>
    </w:p>
    <w:p w:rsidR="00C60304" w:rsidRPr="00C60304" w:rsidRDefault="00C60304" w:rsidP="00C60304">
      <w:pPr>
        <w:jc w:val="both"/>
        <w:rPr>
          <w:rFonts w:ascii="Palatino Linotype" w:hAnsi="Palatino Linotype"/>
          <w:i/>
          <w:sz w:val="20"/>
          <w:szCs w:val="20"/>
          <w:lang w:val="es-MX"/>
        </w:rPr>
      </w:pPr>
      <w:r w:rsidRPr="00C60304">
        <w:rPr>
          <w:rFonts w:ascii="Palatino Linotype" w:hAnsi="Palatino Linotype"/>
          <w:b/>
          <w:i/>
          <w:sz w:val="20"/>
          <w:szCs w:val="20"/>
          <w:lang w:val="es-MX"/>
        </w:rPr>
        <w:t>[1]</w:t>
      </w:r>
      <w:r w:rsidRPr="00C60304">
        <w:rPr>
          <w:rFonts w:ascii="Palatino Linotype" w:hAnsi="Palatino Linotype"/>
          <w:i/>
          <w:sz w:val="20"/>
          <w:szCs w:val="20"/>
          <w:lang w:val="es-MX"/>
        </w:rPr>
        <w:t xml:space="preserve"> Fecha ejemplificativa al efecto de identificar que se trata de un ente que se constituyó con posterioridad a la fecha en que, conforme las Normas Contables Profesionales, correspondió discontinuar la reexpresión de las cifras de los estados contables para reflejar la pérdida de poder adquisitivo de la moneda.</w:t>
      </w:r>
    </w:p>
    <w:p w:rsidR="00C60304" w:rsidRPr="00C60304" w:rsidRDefault="00C60304" w:rsidP="00C60304">
      <w:pPr>
        <w:jc w:val="both"/>
        <w:rPr>
          <w:rFonts w:ascii="Palatino Linotype" w:hAnsi="Palatino Linotype"/>
          <w:i/>
          <w:sz w:val="20"/>
          <w:szCs w:val="20"/>
          <w:lang w:val="es-MX"/>
        </w:rPr>
      </w:pPr>
    </w:p>
    <w:p w:rsidR="00C60304" w:rsidRDefault="00C60304" w:rsidP="00C60304">
      <w:pPr>
        <w:jc w:val="both"/>
        <w:rPr>
          <w:rFonts w:ascii="Palatino Linotype" w:hAnsi="Palatino Linotype"/>
          <w:i/>
          <w:sz w:val="20"/>
          <w:szCs w:val="20"/>
          <w:lang w:val="es-MX"/>
        </w:rPr>
      </w:pPr>
      <w:r w:rsidRPr="00C60304">
        <w:rPr>
          <w:rFonts w:ascii="Palatino Linotype" w:hAnsi="Palatino Linotype"/>
          <w:b/>
          <w:i/>
          <w:sz w:val="20"/>
          <w:szCs w:val="20"/>
          <w:lang w:val="es-MX"/>
        </w:rPr>
        <w:t>[2]</w:t>
      </w:r>
      <w:r w:rsidRPr="00C60304">
        <w:rPr>
          <w:rFonts w:ascii="Palatino Linotype" w:hAnsi="Palatino Linotype"/>
          <w:i/>
          <w:sz w:val="20"/>
          <w:szCs w:val="20"/>
          <w:lang w:val="es-MX"/>
        </w:rPr>
        <w:t xml:space="preserve">Incluir la referencia a </w:t>
      </w:r>
      <w:smartTag w:uri="urn:schemas-microsoft-com:office:smarttags" w:element="PersonName">
        <w:smartTagPr>
          <w:attr w:name="ProductID" w:val="la Resolución CD"/>
        </w:smartTagPr>
        <w:smartTag w:uri="urn:schemas-microsoft-com:office:smarttags" w:element="PersonName">
          <w:smartTagPr>
            <w:attr w:name="ProductID" w:val="la Resolución"/>
          </w:smartTagPr>
          <w:r w:rsidRPr="00C60304">
            <w:rPr>
              <w:rFonts w:ascii="Palatino Linotype" w:hAnsi="Palatino Linotype"/>
              <w:i/>
              <w:sz w:val="20"/>
              <w:szCs w:val="20"/>
              <w:lang w:val="es-MX"/>
            </w:rPr>
            <w:t>la Resolución</w:t>
          </w:r>
        </w:smartTag>
        <w:r w:rsidRPr="00C60304">
          <w:rPr>
            <w:rFonts w:ascii="Palatino Linotype" w:hAnsi="Palatino Linotype"/>
            <w:i/>
            <w:sz w:val="20"/>
            <w:szCs w:val="20"/>
            <w:lang w:val="es-MX"/>
          </w:rPr>
          <w:t xml:space="preserve"> CD</w:t>
        </w:r>
      </w:smartTag>
      <w:r w:rsidRPr="00C60304">
        <w:rPr>
          <w:rFonts w:ascii="Palatino Linotype" w:hAnsi="Palatino Linotype"/>
          <w:i/>
          <w:sz w:val="20"/>
          <w:szCs w:val="20"/>
          <w:lang w:val="es-MX"/>
        </w:rPr>
        <w:t xml:space="preserve"> aprobatoria de </w:t>
      </w:r>
      <w:smartTag w:uri="urn:schemas-microsoft-com:office:smarttags" w:element="PersonName">
        <w:smartTagPr>
          <w:attr w:name="ProductID" w:val="la Resolución Técnica"/>
        </w:smartTagPr>
        <w:smartTag w:uri="urn:schemas-microsoft-com:office:smarttags" w:element="PersonName">
          <w:smartTagPr>
            <w:attr w:name="ProductID" w:val="la Resolución"/>
          </w:smartTagPr>
          <w:r w:rsidRPr="00C60304">
            <w:rPr>
              <w:rFonts w:ascii="Palatino Linotype" w:hAnsi="Palatino Linotype"/>
              <w:i/>
              <w:sz w:val="20"/>
              <w:szCs w:val="20"/>
              <w:lang w:val="es-MX"/>
            </w:rPr>
            <w:t>la Resolución</w:t>
          </w:r>
        </w:smartTag>
        <w:r w:rsidRPr="00C60304">
          <w:rPr>
            <w:rFonts w:ascii="Palatino Linotype" w:hAnsi="Palatino Linotype"/>
            <w:i/>
            <w:sz w:val="20"/>
            <w:szCs w:val="20"/>
            <w:lang w:val="es-MX"/>
          </w:rPr>
          <w:t xml:space="preserve"> Técnica</w:t>
        </w:r>
      </w:smartTag>
      <w:r w:rsidRPr="00C60304">
        <w:rPr>
          <w:rFonts w:ascii="Palatino Linotype" w:hAnsi="Palatino Linotype"/>
          <w:i/>
          <w:sz w:val="20"/>
          <w:szCs w:val="20"/>
          <w:lang w:val="es-MX"/>
        </w:rPr>
        <w:t xml:space="preserve"> N° 41 si no se ha indicado esa información en otra parte de la información complementaria.</w:t>
      </w:r>
    </w:p>
    <w:p w:rsidR="009628CF" w:rsidRPr="00C60304" w:rsidRDefault="009628CF" w:rsidP="00C60304">
      <w:pPr>
        <w:jc w:val="both"/>
        <w:rPr>
          <w:rFonts w:ascii="Palatino Linotype" w:hAnsi="Palatino Linotype"/>
          <w:i/>
          <w:sz w:val="20"/>
          <w:szCs w:val="20"/>
          <w:lang w:val="es-MX"/>
        </w:rPr>
      </w:pPr>
    </w:p>
    <w:p w:rsidR="00C60304" w:rsidRPr="00C60304" w:rsidRDefault="00C60304" w:rsidP="00C60304">
      <w:pPr>
        <w:jc w:val="both"/>
        <w:rPr>
          <w:rFonts w:ascii="Palatino Linotype" w:hAnsi="Palatino Linotype"/>
          <w:sz w:val="20"/>
          <w:szCs w:val="20"/>
        </w:rPr>
      </w:pPr>
    </w:p>
    <w:p w:rsidR="00C60304" w:rsidRPr="00C60304" w:rsidRDefault="00C60304" w:rsidP="00C60304">
      <w:pPr>
        <w:jc w:val="center"/>
        <w:rPr>
          <w:rFonts w:ascii="Palatino Linotype" w:hAnsi="Palatino Linotype"/>
          <w:b/>
          <w:i/>
          <w:sz w:val="20"/>
          <w:szCs w:val="20"/>
          <w:u w:val="single"/>
          <w:lang w:val="es-MX"/>
        </w:rPr>
      </w:pPr>
      <w:r w:rsidRPr="00C60304">
        <w:rPr>
          <w:rFonts w:ascii="Palatino Linotype" w:hAnsi="Palatino Linotype"/>
          <w:b/>
          <w:i/>
          <w:sz w:val="20"/>
          <w:szCs w:val="20"/>
          <w:u w:val="single"/>
          <w:lang w:val="es-MX"/>
        </w:rPr>
        <w:lastRenderedPageBreak/>
        <w:t>Modelo III de Nota sobre Unidad de Medida</w:t>
      </w:r>
    </w:p>
    <w:p w:rsidR="00C60304" w:rsidRPr="00C60304" w:rsidRDefault="00C60304" w:rsidP="00C60304">
      <w:pPr>
        <w:jc w:val="both"/>
        <w:rPr>
          <w:rFonts w:ascii="Palatino Linotype" w:hAnsi="Palatino Linotype"/>
          <w:sz w:val="20"/>
          <w:szCs w:val="20"/>
          <w:lang w:val="es-MX"/>
        </w:rPr>
      </w:pPr>
    </w:p>
    <w:p w:rsidR="00C60304" w:rsidRPr="00C60304" w:rsidRDefault="00C60304" w:rsidP="00C60304">
      <w:pPr>
        <w:jc w:val="both"/>
        <w:rPr>
          <w:rFonts w:ascii="Palatino Linotype" w:hAnsi="Palatino Linotype"/>
          <w:b/>
          <w:i/>
          <w:sz w:val="20"/>
          <w:szCs w:val="20"/>
          <w:lang w:val="es-MX"/>
        </w:rPr>
      </w:pPr>
      <w:r w:rsidRPr="00C60304">
        <w:rPr>
          <w:rFonts w:ascii="Palatino Linotype" w:hAnsi="Palatino Linotype"/>
          <w:b/>
          <w:i/>
          <w:sz w:val="20"/>
          <w:szCs w:val="20"/>
          <w:u w:val="single"/>
          <w:lang w:val="es-MX"/>
        </w:rPr>
        <w:t>Caso:</w:t>
      </w:r>
      <w:r w:rsidRPr="00C60304">
        <w:rPr>
          <w:rFonts w:ascii="Palatino Linotype" w:hAnsi="Palatino Linotype"/>
          <w:sz w:val="20"/>
          <w:szCs w:val="20"/>
          <w:lang w:val="es-MX"/>
        </w:rPr>
        <w:t xml:space="preserve"> </w:t>
      </w:r>
      <w:r w:rsidRPr="00C60304">
        <w:rPr>
          <w:rFonts w:ascii="Palatino Linotype" w:hAnsi="Palatino Linotype"/>
          <w:i/>
          <w:sz w:val="20"/>
          <w:szCs w:val="20"/>
        </w:rPr>
        <w:t>El ente n</w:t>
      </w:r>
      <w:r w:rsidRPr="00C60304">
        <w:rPr>
          <w:rFonts w:ascii="Palatino Linotype" w:hAnsi="Palatino Linotype"/>
          <w:i/>
          <w:sz w:val="20"/>
          <w:szCs w:val="20"/>
          <w:lang w:val="es-MX"/>
        </w:rPr>
        <w:t xml:space="preserve">o ha practicado la reexpresión de las cifras de los estados contables en períodos anteriores en virtud  de que la fecha de constitución del ente es posterior a la vigencia de la Resolución Técnica N° 41 </w:t>
      </w:r>
      <w:r w:rsidRPr="00C60304">
        <w:rPr>
          <w:rFonts w:ascii="Palatino Linotype" w:hAnsi="Palatino Linotype"/>
          <w:b/>
          <w:i/>
          <w:sz w:val="20"/>
          <w:szCs w:val="20"/>
          <w:lang w:val="es-MX"/>
        </w:rPr>
        <w:t>[o Resolución Técnica N° 39]</w:t>
      </w:r>
      <w:r w:rsidRPr="00C60304">
        <w:rPr>
          <w:rFonts w:ascii="Palatino Linotype" w:hAnsi="Palatino Linotype"/>
          <w:i/>
          <w:sz w:val="20"/>
          <w:szCs w:val="20"/>
          <w:lang w:val="es-MX"/>
        </w:rPr>
        <w:t xml:space="preserve"> y lo establecido por las normas contables profesionales.</w:t>
      </w:r>
    </w:p>
    <w:p w:rsidR="00C60304" w:rsidRPr="00C60304" w:rsidRDefault="00C60304" w:rsidP="00C60304">
      <w:pPr>
        <w:jc w:val="both"/>
        <w:rPr>
          <w:rFonts w:ascii="Palatino Linotype" w:hAnsi="Palatino Linotype"/>
          <w:sz w:val="20"/>
          <w:szCs w:val="20"/>
          <w:lang w:val="es-MX"/>
        </w:rPr>
      </w:pPr>
    </w:p>
    <w:p w:rsidR="00C60304" w:rsidRPr="00C60304" w:rsidRDefault="00C60304" w:rsidP="00C60304">
      <w:pPr>
        <w:jc w:val="both"/>
        <w:rPr>
          <w:rFonts w:ascii="Palatino Linotype" w:hAnsi="Palatino Linotype"/>
          <w:b/>
          <w:i/>
          <w:sz w:val="20"/>
          <w:szCs w:val="20"/>
          <w:u w:val="single"/>
          <w:lang w:val="es-MX"/>
        </w:rPr>
      </w:pPr>
      <w:r w:rsidRPr="00C60304">
        <w:rPr>
          <w:rFonts w:ascii="Palatino Linotype" w:hAnsi="Palatino Linotype"/>
          <w:b/>
          <w:i/>
          <w:sz w:val="20"/>
          <w:szCs w:val="20"/>
          <w:u w:val="single"/>
          <w:lang w:val="es-MX"/>
        </w:rPr>
        <w:t>Unidad de Medida.</w:t>
      </w:r>
    </w:p>
    <w:p w:rsidR="00C60304" w:rsidRPr="00C60304" w:rsidRDefault="00C60304" w:rsidP="00C60304">
      <w:pPr>
        <w:jc w:val="both"/>
        <w:rPr>
          <w:rFonts w:ascii="Palatino Linotype" w:hAnsi="Palatino Linotype"/>
          <w:b/>
          <w:i/>
          <w:sz w:val="20"/>
          <w:szCs w:val="20"/>
          <w:u w:val="single"/>
          <w:lang w:val="es-MX"/>
        </w:rPr>
      </w:pPr>
    </w:p>
    <w:p w:rsidR="00C60304" w:rsidRPr="00C60304" w:rsidRDefault="00C60304" w:rsidP="00C60304">
      <w:pPr>
        <w:jc w:val="both"/>
        <w:rPr>
          <w:rFonts w:ascii="Palatino Linotype" w:hAnsi="Palatino Linotype"/>
          <w:i/>
          <w:sz w:val="20"/>
          <w:szCs w:val="20"/>
          <w:lang w:val="es-MX"/>
        </w:rPr>
      </w:pPr>
      <w:r w:rsidRPr="00C60304">
        <w:rPr>
          <w:rFonts w:ascii="Palatino Linotype" w:hAnsi="Palatino Linotype"/>
          <w:i/>
          <w:sz w:val="20"/>
          <w:szCs w:val="20"/>
          <w:lang w:val="es-MX"/>
        </w:rPr>
        <w:t xml:space="preserve">Los estados contables han sido preparados en moneda nominal, utilizando dicha moneda como moneda homogénea de conformidad a lo establecido en la </w:t>
      </w:r>
      <w:r w:rsidRPr="00C60304">
        <w:rPr>
          <w:rFonts w:ascii="Palatino Linotype" w:hAnsi="Palatino Linotype"/>
          <w:b/>
          <w:i/>
          <w:sz w:val="20"/>
          <w:szCs w:val="20"/>
          <w:lang w:val="es-MX"/>
        </w:rPr>
        <w:t xml:space="preserve"> </w:t>
      </w:r>
      <w:r w:rsidRPr="00C60304">
        <w:rPr>
          <w:rFonts w:ascii="Palatino Linotype" w:hAnsi="Palatino Linotype"/>
          <w:i/>
          <w:sz w:val="20"/>
          <w:szCs w:val="20"/>
          <w:lang w:val="es-MX"/>
        </w:rPr>
        <w:t xml:space="preserve">Resolución Técnica N° 41, </w:t>
      </w:r>
      <w:r w:rsidR="00754A4A">
        <w:rPr>
          <w:rFonts w:ascii="Palatino Linotype" w:hAnsi="Palatino Linotype"/>
          <w:i/>
          <w:sz w:val="20"/>
          <w:szCs w:val="20"/>
          <w:lang w:val="es-MX"/>
        </w:rPr>
        <w:t>2da. Parte</w:t>
      </w:r>
      <w:r w:rsidR="00B02DAC">
        <w:rPr>
          <w:rFonts w:ascii="Palatino Linotype" w:hAnsi="Palatino Linotype"/>
          <w:i/>
          <w:sz w:val="20"/>
          <w:szCs w:val="20"/>
          <w:lang w:val="es-MX"/>
        </w:rPr>
        <w:t xml:space="preserve"> </w:t>
      </w:r>
      <w:r w:rsidR="00B02DAC" w:rsidRPr="00B02DAC">
        <w:rPr>
          <w:rFonts w:ascii="Palatino Linotype" w:hAnsi="Palatino Linotype"/>
          <w:b/>
          <w:i/>
          <w:sz w:val="20"/>
          <w:szCs w:val="20"/>
          <w:lang w:val="es-MX"/>
        </w:rPr>
        <w:t>[3ra. Parte]</w:t>
      </w:r>
      <w:r w:rsidR="00754A4A">
        <w:rPr>
          <w:rFonts w:ascii="Palatino Linotype" w:hAnsi="Palatino Linotype"/>
          <w:i/>
          <w:sz w:val="20"/>
          <w:szCs w:val="20"/>
          <w:lang w:val="es-MX"/>
        </w:rPr>
        <w:t xml:space="preserve">, </w:t>
      </w:r>
      <w:r w:rsidRPr="00C60304">
        <w:rPr>
          <w:rFonts w:ascii="Palatino Linotype" w:hAnsi="Palatino Linotype"/>
          <w:i/>
          <w:sz w:val="20"/>
          <w:szCs w:val="20"/>
          <w:lang w:val="es-MX"/>
        </w:rPr>
        <w:t>Sección 2, Pto. 2.6.</w:t>
      </w:r>
      <w:r w:rsidRPr="00C60304">
        <w:rPr>
          <w:rFonts w:ascii="Palatino Linotype" w:hAnsi="Palatino Linotype"/>
          <w:b/>
          <w:i/>
          <w:sz w:val="20"/>
          <w:szCs w:val="20"/>
          <w:lang w:val="es-MX"/>
        </w:rPr>
        <w:t xml:space="preserve"> [originalmente en la Resolución Técnica N° 39 y su normativa reglamentaria y, actualmente, en la  Resolución Técnica N° 41, </w:t>
      </w:r>
      <w:r w:rsidR="00B02DAC" w:rsidRPr="00B02DAC">
        <w:rPr>
          <w:rFonts w:ascii="Palatino Linotype" w:hAnsi="Palatino Linotype"/>
          <w:b/>
          <w:i/>
          <w:sz w:val="20"/>
          <w:szCs w:val="20"/>
          <w:lang w:val="es-MX"/>
        </w:rPr>
        <w:t>2da. Parte</w:t>
      </w:r>
      <w:r w:rsidR="00B02DAC">
        <w:rPr>
          <w:rFonts w:ascii="Palatino Linotype" w:hAnsi="Palatino Linotype"/>
          <w:i/>
          <w:sz w:val="20"/>
          <w:szCs w:val="20"/>
          <w:lang w:val="es-MX"/>
        </w:rPr>
        <w:t xml:space="preserve"> </w:t>
      </w:r>
      <w:r w:rsidR="00B02DAC" w:rsidRPr="00B02DAC">
        <w:rPr>
          <w:rFonts w:ascii="Palatino Linotype" w:hAnsi="Palatino Linotype"/>
          <w:b/>
          <w:i/>
          <w:sz w:val="20"/>
          <w:szCs w:val="20"/>
          <w:lang w:val="es-MX"/>
        </w:rPr>
        <w:t>[3ra. Parte]</w:t>
      </w:r>
      <w:r w:rsidR="00B02DAC">
        <w:rPr>
          <w:rFonts w:ascii="Palatino Linotype" w:hAnsi="Palatino Linotype"/>
          <w:b/>
          <w:i/>
          <w:sz w:val="20"/>
          <w:szCs w:val="20"/>
          <w:lang w:val="es-MX"/>
        </w:rPr>
        <w:t>,</w:t>
      </w:r>
      <w:r w:rsidR="003F2020">
        <w:rPr>
          <w:rFonts w:ascii="Palatino Linotype" w:hAnsi="Palatino Linotype"/>
          <w:b/>
          <w:i/>
          <w:sz w:val="20"/>
          <w:szCs w:val="20"/>
          <w:lang w:val="es-MX"/>
        </w:rPr>
        <w:t xml:space="preserve"> </w:t>
      </w:r>
      <w:r w:rsidRPr="00C60304">
        <w:rPr>
          <w:rFonts w:ascii="Palatino Linotype" w:hAnsi="Palatino Linotype"/>
          <w:b/>
          <w:i/>
          <w:sz w:val="20"/>
          <w:szCs w:val="20"/>
          <w:lang w:val="es-MX"/>
        </w:rPr>
        <w:t>Sección 2, Pto. 2.6.]</w:t>
      </w:r>
      <w:r w:rsidRPr="00C60304">
        <w:rPr>
          <w:rFonts w:ascii="Palatino Linotype" w:hAnsi="Palatino Linotype"/>
          <w:i/>
          <w:sz w:val="20"/>
          <w:szCs w:val="20"/>
          <w:lang w:val="es-MX"/>
        </w:rPr>
        <w:t>, aprobada por el Consejo Profesional de Ciencias Económicas de la Provincia de Buenos Aires según Resoluci</w:t>
      </w:r>
      <w:r w:rsidR="001E2B43">
        <w:rPr>
          <w:rFonts w:ascii="Palatino Linotype" w:hAnsi="Palatino Linotype"/>
          <w:i/>
          <w:sz w:val="20"/>
          <w:szCs w:val="20"/>
          <w:lang w:val="es-MX"/>
        </w:rPr>
        <w:t>o</w:t>
      </w:r>
      <w:r w:rsidRPr="00C60304">
        <w:rPr>
          <w:rFonts w:ascii="Palatino Linotype" w:hAnsi="Palatino Linotype"/>
          <w:i/>
          <w:sz w:val="20"/>
          <w:szCs w:val="20"/>
          <w:lang w:val="es-MX"/>
        </w:rPr>
        <w:t>n</w:t>
      </w:r>
      <w:r w:rsidR="001E2B43">
        <w:rPr>
          <w:rFonts w:ascii="Palatino Linotype" w:hAnsi="Palatino Linotype"/>
          <w:i/>
          <w:sz w:val="20"/>
          <w:szCs w:val="20"/>
          <w:lang w:val="es-MX"/>
        </w:rPr>
        <w:t>es</w:t>
      </w:r>
      <w:r w:rsidRPr="00C60304">
        <w:rPr>
          <w:rFonts w:ascii="Palatino Linotype" w:hAnsi="Palatino Linotype"/>
          <w:i/>
          <w:sz w:val="20"/>
          <w:szCs w:val="20"/>
          <w:lang w:val="es-MX"/>
        </w:rPr>
        <w:t xml:space="preserve"> CD N</w:t>
      </w:r>
      <w:r w:rsidRPr="001E2B43">
        <w:rPr>
          <w:rFonts w:ascii="Palatino Linotype" w:hAnsi="Palatino Linotype"/>
          <w:i/>
          <w:sz w:val="20"/>
          <w:szCs w:val="20"/>
          <w:lang w:val="es-MX"/>
        </w:rPr>
        <w:t>° 3563</w:t>
      </w:r>
      <w:r w:rsidR="00B02DAC" w:rsidRPr="001E2B43">
        <w:rPr>
          <w:rFonts w:ascii="Palatino Linotype" w:hAnsi="Palatino Linotype"/>
          <w:i/>
          <w:sz w:val="20"/>
          <w:szCs w:val="20"/>
          <w:lang w:val="es-MX"/>
        </w:rPr>
        <w:t xml:space="preserve"> y N° 3596</w:t>
      </w:r>
      <w:r w:rsidR="003F2020" w:rsidRPr="001E2B43">
        <w:rPr>
          <w:rFonts w:ascii="Palatino Linotype" w:hAnsi="Palatino Linotype"/>
          <w:i/>
          <w:sz w:val="20"/>
          <w:szCs w:val="20"/>
          <w:lang w:val="es-MX"/>
        </w:rPr>
        <w:t>.</w:t>
      </w:r>
      <w:r w:rsidR="003F2020">
        <w:rPr>
          <w:rFonts w:ascii="Palatino Linotype" w:hAnsi="Palatino Linotype"/>
          <w:b/>
          <w:i/>
          <w:sz w:val="20"/>
          <w:szCs w:val="20"/>
          <w:lang w:val="es-MX"/>
        </w:rPr>
        <w:t xml:space="preserve"> </w:t>
      </w:r>
      <w:r w:rsidRPr="00C60304">
        <w:rPr>
          <w:rFonts w:ascii="Palatino Linotype" w:hAnsi="Palatino Linotype"/>
          <w:b/>
          <w:i/>
          <w:sz w:val="20"/>
          <w:szCs w:val="20"/>
          <w:lang w:val="es-MX"/>
        </w:rPr>
        <w:t>[1]</w:t>
      </w:r>
      <w:r w:rsidRPr="00C60304">
        <w:rPr>
          <w:rFonts w:ascii="Palatino Linotype" w:hAnsi="Palatino Linotype"/>
          <w:i/>
          <w:sz w:val="20"/>
          <w:szCs w:val="20"/>
          <w:lang w:val="es-MX"/>
        </w:rPr>
        <w:t xml:space="preserve"> </w:t>
      </w:r>
    </w:p>
    <w:p w:rsidR="00C60304" w:rsidRPr="00C60304" w:rsidRDefault="00C60304" w:rsidP="00C60304">
      <w:pPr>
        <w:jc w:val="both"/>
        <w:rPr>
          <w:rFonts w:ascii="Palatino Linotype" w:hAnsi="Palatino Linotype"/>
          <w:i/>
          <w:sz w:val="20"/>
          <w:szCs w:val="20"/>
          <w:lang w:val="es-MX"/>
        </w:rPr>
      </w:pPr>
    </w:p>
    <w:p w:rsidR="00C60304" w:rsidRPr="00C60304" w:rsidRDefault="00C60304" w:rsidP="00C60304">
      <w:pPr>
        <w:jc w:val="both"/>
        <w:rPr>
          <w:rFonts w:ascii="Palatino Linotype" w:hAnsi="Palatino Linotype"/>
          <w:i/>
          <w:sz w:val="20"/>
          <w:szCs w:val="20"/>
          <w:lang w:val="es-MX"/>
        </w:rPr>
      </w:pPr>
      <w:r w:rsidRPr="00C60304">
        <w:rPr>
          <w:rFonts w:ascii="Palatino Linotype" w:hAnsi="Palatino Linotype"/>
          <w:i/>
          <w:sz w:val="20"/>
          <w:szCs w:val="20"/>
          <w:lang w:val="es-MX"/>
        </w:rPr>
        <w:t xml:space="preserve">La Resolución Técnica N° 41 establece </w:t>
      </w:r>
      <w:r w:rsidRPr="00C60304">
        <w:rPr>
          <w:rFonts w:ascii="Palatino Linotype" w:hAnsi="Palatino Linotype"/>
          <w:b/>
          <w:i/>
          <w:sz w:val="20"/>
          <w:szCs w:val="20"/>
          <w:lang w:val="es-MX"/>
        </w:rPr>
        <w:t>[Tanto</w:t>
      </w:r>
      <w:r w:rsidRPr="00C60304">
        <w:rPr>
          <w:rFonts w:ascii="Palatino Linotype" w:hAnsi="Palatino Linotype"/>
          <w:i/>
          <w:sz w:val="20"/>
          <w:szCs w:val="20"/>
          <w:lang w:val="es-MX"/>
        </w:rPr>
        <w:t xml:space="preserve"> </w:t>
      </w:r>
      <w:r w:rsidRPr="00C60304">
        <w:rPr>
          <w:rFonts w:ascii="Palatino Linotype" w:hAnsi="Palatino Linotype"/>
          <w:b/>
          <w:i/>
          <w:sz w:val="20"/>
          <w:szCs w:val="20"/>
          <w:lang w:val="es-MX"/>
        </w:rPr>
        <w:t xml:space="preserve">la Resolución Técnica N° 39, y su normativa </w:t>
      </w:r>
      <w:r w:rsidR="00461735">
        <w:rPr>
          <w:rFonts w:ascii="Palatino Linotype" w:hAnsi="Palatino Linotype"/>
          <w:b/>
          <w:i/>
          <w:sz w:val="20"/>
          <w:szCs w:val="20"/>
          <w:lang w:val="es-MX"/>
        </w:rPr>
        <w:t>complementaria</w:t>
      </w:r>
      <w:r w:rsidRPr="00C60304">
        <w:rPr>
          <w:rFonts w:ascii="Palatino Linotype" w:hAnsi="Palatino Linotype"/>
          <w:b/>
          <w:i/>
          <w:sz w:val="20"/>
          <w:szCs w:val="20"/>
          <w:lang w:val="es-MX"/>
        </w:rPr>
        <w:t>,</w:t>
      </w:r>
      <w:r w:rsidR="00461735">
        <w:rPr>
          <w:rFonts w:ascii="Palatino Linotype" w:hAnsi="Palatino Linotype"/>
          <w:b/>
          <w:i/>
          <w:sz w:val="20"/>
          <w:szCs w:val="20"/>
          <w:lang w:val="es-MX"/>
        </w:rPr>
        <w:t xml:space="preserve"> actualmente la Interpretación N° 8 de Normas Profesionales,</w:t>
      </w:r>
      <w:r w:rsidRPr="00C60304">
        <w:rPr>
          <w:rFonts w:ascii="Palatino Linotype" w:hAnsi="Palatino Linotype"/>
          <w:b/>
          <w:i/>
          <w:sz w:val="20"/>
          <w:szCs w:val="20"/>
          <w:lang w:val="es-MX"/>
        </w:rPr>
        <w:t xml:space="preserve"> como la  Resolución Técnica N° 41</w:t>
      </w:r>
      <w:r w:rsidRPr="00C60304">
        <w:rPr>
          <w:rFonts w:ascii="Palatino Linotype" w:hAnsi="Palatino Linotype"/>
          <w:i/>
          <w:sz w:val="20"/>
          <w:szCs w:val="20"/>
          <w:lang w:val="es-MX"/>
        </w:rPr>
        <w:t xml:space="preserve"> </w:t>
      </w:r>
      <w:r w:rsidRPr="00C60304">
        <w:rPr>
          <w:rFonts w:ascii="Palatino Linotype" w:hAnsi="Palatino Linotype"/>
          <w:b/>
          <w:i/>
          <w:sz w:val="20"/>
          <w:szCs w:val="20"/>
          <w:lang w:val="es-MX"/>
        </w:rPr>
        <w:t>establecen]</w:t>
      </w:r>
      <w:r w:rsidRPr="00C60304">
        <w:rPr>
          <w:rFonts w:ascii="Palatino Linotype" w:hAnsi="Palatino Linotype"/>
          <w:i/>
          <w:sz w:val="20"/>
          <w:szCs w:val="20"/>
          <w:lang w:val="es-MX"/>
        </w:rPr>
        <w:t xml:space="preserve">  que la necesidad de reexpresar los estados contables para reflejar los cambios en el poder adquisitivo de la moneda viene indicada por la existencia o no de un entorno económico de alta inflación.  </w:t>
      </w:r>
    </w:p>
    <w:p w:rsidR="00C60304" w:rsidRPr="00C60304" w:rsidRDefault="00C60304" w:rsidP="00C60304">
      <w:pPr>
        <w:jc w:val="both"/>
        <w:rPr>
          <w:rFonts w:ascii="Palatino Linotype" w:hAnsi="Palatino Linotype"/>
          <w:i/>
          <w:sz w:val="20"/>
          <w:szCs w:val="20"/>
          <w:lang w:val="es-MX"/>
        </w:rPr>
      </w:pPr>
    </w:p>
    <w:p w:rsidR="00C60304" w:rsidRPr="00C60304" w:rsidRDefault="00C60304" w:rsidP="00C60304">
      <w:pPr>
        <w:jc w:val="both"/>
        <w:rPr>
          <w:rFonts w:ascii="Palatino Linotype" w:hAnsi="Palatino Linotype"/>
          <w:i/>
          <w:sz w:val="20"/>
          <w:szCs w:val="20"/>
          <w:lang w:val="es-MX"/>
        </w:rPr>
      </w:pPr>
      <w:r w:rsidRPr="00C60304">
        <w:rPr>
          <w:rFonts w:ascii="Palatino Linotype" w:hAnsi="Palatino Linotype"/>
          <w:i/>
          <w:sz w:val="20"/>
          <w:szCs w:val="20"/>
          <w:lang w:val="es-MX"/>
        </w:rPr>
        <w:t>A los fines de identificar la existencia de un entorno económico de alta inflación, la RT N° 41 brinda una pauta cuantitativa que es condición necesaria para proceder a reexpresar las cifras de los estados contables, dicha pauta consiste en que la tasa acumulada de inflación en tres años, considerando el Índice de Precios Internos al por Mayor elaborado por el Instituto Nacional de Estadísticas y Censos (INDEC), alcance o sobrepase el 100%. También la norma proporciona una serie de pautas cualitativas que serían de utilidad para determinar si corresponde efectuar la referida reexpresión en un escenario en que existiera ausencia prolongada de un índice oficial de precios.</w:t>
      </w:r>
    </w:p>
    <w:p w:rsidR="00C60304" w:rsidRPr="00C60304" w:rsidRDefault="00C60304" w:rsidP="00C60304">
      <w:pPr>
        <w:jc w:val="both"/>
        <w:rPr>
          <w:rFonts w:ascii="Palatino Linotype" w:hAnsi="Palatino Linotype"/>
          <w:i/>
          <w:sz w:val="20"/>
          <w:szCs w:val="20"/>
          <w:lang w:val="es-MX"/>
        </w:rPr>
      </w:pPr>
    </w:p>
    <w:p w:rsidR="009628CF" w:rsidRPr="00C60304" w:rsidRDefault="009628CF" w:rsidP="009628CF">
      <w:pPr>
        <w:jc w:val="both"/>
        <w:rPr>
          <w:rFonts w:ascii="Palatino Linotype" w:hAnsi="Palatino Linotype"/>
          <w:i/>
          <w:sz w:val="20"/>
          <w:szCs w:val="20"/>
        </w:rPr>
      </w:pPr>
      <w:r w:rsidRPr="00C60304">
        <w:rPr>
          <w:rFonts w:ascii="Palatino Linotype" w:hAnsi="Palatino Linotype"/>
          <w:i/>
          <w:sz w:val="20"/>
          <w:szCs w:val="20"/>
        </w:rPr>
        <w:t>Con fecha 07 de enero de 2016 el Poder Ejecutivo Nacional declaró en estado de emergencia administrativa al Sistema Estadístico Nacional y a su órgano rector, el INDEC y, en el marco de la emergencia, el INDEC discontinuó la emisión del Índice de Precios Internos al por Mayor (IPIM) durante los meses de noviembre y diciembre del año 2015. La publicación del IPIM</w:t>
      </w:r>
      <w:r w:rsidR="00461735">
        <w:rPr>
          <w:rFonts w:ascii="Palatino Linotype" w:hAnsi="Palatino Linotype"/>
          <w:i/>
          <w:sz w:val="20"/>
          <w:szCs w:val="20"/>
        </w:rPr>
        <w:t xml:space="preserve"> (expresado en términos de variación mensual)</w:t>
      </w:r>
      <w:r w:rsidRPr="00C60304">
        <w:rPr>
          <w:rFonts w:ascii="Palatino Linotype" w:hAnsi="Palatino Linotype"/>
          <w:i/>
          <w:sz w:val="20"/>
          <w:szCs w:val="20"/>
        </w:rPr>
        <w:t xml:space="preserve"> ha sido retomada por el mencionado Instituto desde el mes de enero de 2016.</w:t>
      </w:r>
    </w:p>
    <w:p w:rsidR="009628CF" w:rsidRDefault="009628CF" w:rsidP="009628CF">
      <w:pPr>
        <w:jc w:val="both"/>
        <w:rPr>
          <w:rFonts w:ascii="Palatino Linotype" w:hAnsi="Palatino Linotype"/>
          <w:i/>
          <w:sz w:val="20"/>
          <w:szCs w:val="20"/>
        </w:rPr>
      </w:pPr>
    </w:p>
    <w:p w:rsidR="009628CF" w:rsidRPr="00C60304" w:rsidRDefault="009628CF" w:rsidP="009628CF">
      <w:pPr>
        <w:jc w:val="both"/>
        <w:rPr>
          <w:rFonts w:ascii="Palatino Linotype" w:hAnsi="Palatino Linotype"/>
          <w:i/>
          <w:sz w:val="20"/>
          <w:szCs w:val="20"/>
        </w:rPr>
      </w:pPr>
      <w:r w:rsidRPr="00C60304">
        <w:rPr>
          <w:rFonts w:ascii="Palatino Linotype" w:hAnsi="Palatino Linotype"/>
          <w:i/>
          <w:sz w:val="20"/>
          <w:szCs w:val="20"/>
        </w:rPr>
        <w:t xml:space="preserve">Ante  lo establecido por la mencionada </w:t>
      </w:r>
      <w:r>
        <w:rPr>
          <w:rFonts w:ascii="Palatino Linotype" w:hAnsi="Palatino Linotype"/>
          <w:i/>
          <w:sz w:val="20"/>
          <w:szCs w:val="20"/>
        </w:rPr>
        <w:t>Resolución Técnica N° 41</w:t>
      </w:r>
      <w:r w:rsidRPr="00C60304">
        <w:rPr>
          <w:rFonts w:ascii="Palatino Linotype" w:hAnsi="Palatino Linotype"/>
          <w:i/>
          <w:sz w:val="20"/>
          <w:szCs w:val="20"/>
        </w:rPr>
        <w:t xml:space="preserve"> y la falta de la información emitida por el INDEC sobre la evolución del IPIM correspondiente a los dos últimos meses del año 2015, al efecto de evaluar si se ha alcanzado o sobrepasado la pauta cuantitativa señalada se han considerado dichos meses como “sin datos”.  Con la aplicación del criterio indicado, la evolución del IPIM durante el trienio cerrado </w:t>
      </w:r>
      <w:r w:rsidRPr="00C60304">
        <w:rPr>
          <w:rFonts w:ascii="Palatino Linotype" w:hAnsi="Palatino Linotype"/>
          <w:i/>
          <w:sz w:val="20"/>
          <w:szCs w:val="20"/>
        </w:rPr>
        <w:lastRenderedPageBreak/>
        <w:t xml:space="preserve">al 30 de junio de 2016 que es objetivamente determinable con la información de precios internos al por mayor proporcionada por el INDEC no alcanza el 100%.   </w:t>
      </w:r>
    </w:p>
    <w:p w:rsidR="00C60304" w:rsidRPr="009628CF" w:rsidRDefault="00C60304" w:rsidP="00C60304">
      <w:pPr>
        <w:jc w:val="both"/>
        <w:rPr>
          <w:rFonts w:ascii="Palatino Linotype" w:hAnsi="Palatino Linotype"/>
          <w:i/>
          <w:sz w:val="20"/>
          <w:szCs w:val="20"/>
        </w:rPr>
      </w:pPr>
    </w:p>
    <w:p w:rsidR="00C60304" w:rsidRPr="00C60304" w:rsidRDefault="00C60304" w:rsidP="00C60304">
      <w:pPr>
        <w:jc w:val="both"/>
        <w:rPr>
          <w:rFonts w:ascii="Palatino Linotype" w:hAnsi="Palatino Linotype"/>
          <w:i/>
          <w:sz w:val="20"/>
          <w:szCs w:val="20"/>
          <w:lang w:val="es-MX"/>
        </w:rPr>
      </w:pPr>
      <w:r w:rsidRPr="00C60304">
        <w:rPr>
          <w:rFonts w:ascii="Palatino Linotype" w:hAnsi="Palatino Linotype"/>
          <w:b/>
          <w:i/>
          <w:sz w:val="20"/>
          <w:szCs w:val="20"/>
          <w:lang w:val="es-MX"/>
        </w:rPr>
        <w:t>[1]</w:t>
      </w:r>
      <w:r w:rsidRPr="00C60304">
        <w:rPr>
          <w:rFonts w:ascii="Palatino Linotype" w:hAnsi="Palatino Linotype"/>
          <w:i/>
          <w:sz w:val="20"/>
          <w:szCs w:val="20"/>
          <w:lang w:val="es-MX"/>
        </w:rPr>
        <w:t xml:space="preserve">Incluir la referencia a </w:t>
      </w:r>
      <w:smartTag w:uri="urn:schemas-microsoft-com:office:smarttags" w:element="PersonName">
        <w:smartTagPr>
          <w:attr w:name="ProductID" w:val="la Resolución CD"/>
        </w:smartTagPr>
        <w:smartTag w:uri="urn:schemas-microsoft-com:office:smarttags" w:element="PersonName">
          <w:smartTagPr>
            <w:attr w:name="ProductID" w:val="la Resolución"/>
          </w:smartTagPr>
          <w:r w:rsidRPr="00C60304">
            <w:rPr>
              <w:rFonts w:ascii="Palatino Linotype" w:hAnsi="Palatino Linotype"/>
              <w:i/>
              <w:sz w:val="20"/>
              <w:szCs w:val="20"/>
              <w:lang w:val="es-MX"/>
            </w:rPr>
            <w:t>la Resolución</w:t>
          </w:r>
        </w:smartTag>
        <w:r w:rsidRPr="00C60304">
          <w:rPr>
            <w:rFonts w:ascii="Palatino Linotype" w:hAnsi="Palatino Linotype"/>
            <w:i/>
            <w:sz w:val="20"/>
            <w:szCs w:val="20"/>
            <w:lang w:val="es-MX"/>
          </w:rPr>
          <w:t xml:space="preserve"> CD</w:t>
        </w:r>
      </w:smartTag>
      <w:r w:rsidRPr="00C60304">
        <w:rPr>
          <w:rFonts w:ascii="Palatino Linotype" w:hAnsi="Palatino Linotype"/>
          <w:i/>
          <w:sz w:val="20"/>
          <w:szCs w:val="20"/>
          <w:lang w:val="es-MX"/>
        </w:rPr>
        <w:t xml:space="preserve"> aprobatoria de </w:t>
      </w:r>
      <w:smartTag w:uri="urn:schemas-microsoft-com:office:smarttags" w:element="PersonName">
        <w:smartTagPr>
          <w:attr w:name="ProductID" w:val="la Resolución Técnica"/>
        </w:smartTagPr>
        <w:smartTag w:uri="urn:schemas-microsoft-com:office:smarttags" w:element="PersonName">
          <w:smartTagPr>
            <w:attr w:name="ProductID" w:val="la Resolución"/>
          </w:smartTagPr>
          <w:r w:rsidRPr="00C60304">
            <w:rPr>
              <w:rFonts w:ascii="Palatino Linotype" w:hAnsi="Palatino Linotype"/>
              <w:i/>
              <w:sz w:val="20"/>
              <w:szCs w:val="20"/>
              <w:lang w:val="es-MX"/>
            </w:rPr>
            <w:t>la Resolución</w:t>
          </w:r>
        </w:smartTag>
        <w:r w:rsidRPr="00C60304">
          <w:rPr>
            <w:rFonts w:ascii="Palatino Linotype" w:hAnsi="Palatino Linotype"/>
            <w:i/>
            <w:sz w:val="20"/>
            <w:szCs w:val="20"/>
            <w:lang w:val="es-MX"/>
          </w:rPr>
          <w:t xml:space="preserve"> Técnica</w:t>
        </w:r>
      </w:smartTag>
      <w:r w:rsidRPr="00C60304">
        <w:rPr>
          <w:rFonts w:ascii="Palatino Linotype" w:hAnsi="Palatino Linotype"/>
          <w:i/>
          <w:sz w:val="20"/>
          <w:szCs w:val="20"/>
          <w:lang w:val="es-MX"/>
        </w:rPr>
        <w:t xml:space="preserve"> N° 41 si no se ha indicado esa información en otra parte de la información complementaria.</w:t>
      </w:r>
    </w:p>
    <w:p w:rsidR="00C60304" w:rsidRPr="00C60304" w:rsidRDefault="00C60304" w:rsidP="00C60304">
      <w:pPr>
        <w:jc w:val="both"/>
        <w:rPr>
          <w:rFonts w:ascii="Palatino Linotype" w:hAnsi="Palatino Linotype"/>
          <w:sz w:val="20"/>
          <w:szCs w:val="20"/>
          <w:lang w:val="es-MX"/>
        </w:rPr>
      </w:pPr>
    </w:p>
    <w:p w:rsidR="00C60304" w:rsidRPr="00C60304" w:rsidRDefault="00C60304" w:rsidP="00C60304">
      <w:pPr>
        <w:jc w:val="both"/>
        <w:rPr>
          <w:rFonts w:ascii="Palatino Linotype" w:hAnsi="Palatino Linotype"/>
          <w:sz w:val="20"/>
          <w:szCs w:val="20"/>
        </w:rPr>
      </w:pPr>
    </w:p>
    <w:p w:rsidR="00A373ED" w:rsidRDefault="00A373ED" w:rsidP="00A373ED">
      <w:pPr>
        <w:jc w:val="center"/>
        <w:rPr>
          <w:rFonts w:ascii="Palatino Linotype" w:hAnsi="Palatino Linotype"/>
          <w:b/>
          <w:i/>
          <w:sz w:val="20"/>
          <w:szCs w:val="20"/>
          <w:u w:val="single"/>
        </w:rPr>
      </w:pPr>
      <w:r w:rsidRPr="00A373ED">
        <w:rPr>
          <w:rFonts w:ascii="Palatino Linotype" w:hAnsi="Palatino Linotype"/>
          <w:b/>
          <w:i/>
          <w:sz w:val="20"/>
          <w:szCs w:val="20"/>
          <w:u w:val="single"/>
        </w:rPr>
        <w:t xml:space="preserve">Modelos para Entes que Aplican la Resolución Técnica N° </w:t>
      </w:r>
      <w:r>
        <w:rPr>
          <w:rFonts w:ascii="Palatino Linotype" w:hAnsi="Palatino Linotype"/>
          <w:b/>
          <w:i/>
          <w:sz w:val="20"/>
          <w:szCs w:val="20"/>
          <w:u w:val="single"/>
        </w:rPr>
        <w:t>17</w:t>
      </w:r>
    </w:p>
    <w:p w:rsidR="007D0610" w:rsidRDefault="007D0610" w:rsidP="00A373ED">
      <w:pPr>
        <w:jc w:val="center"/>
        <w:rPr>
          <w:rFonts w:ascii="Palatino Linotype" w:hAnsi="Palatino Linotype"/>
          <w:b/>
          <w:i/>
          <w:sz w:val="20"/>
          <w:szCs w:val="20"/>
          <w:u w:val="single"/>
        </w:rPr>
      </w:pPr>
    </w:p>
    <w:p w:rsidR="007D0610" w:rsidRPr="007D0610" w:rsidRDefault="007D0610" w:rsidP="007D0610">
      <w:pPr>
        <w:jc w:val="center"/>
        <w:rPr>
          <w:rFonts w:ascii="Palatino Linotype" w:hAnsi="Palatino Linotype"/>
          <w:b/>
          <w:i/>
          <w:sz w:val="20"/>
          <w:szCs w:val="20"/>
          <w:u w:val="single"/>
          <w:lang w:val="es-MX"/>
        </w:rPr>
      </w:pPr>
      <w:r w:rsidRPr="007D0610">
        <w:rPr>
          <w:rFonts w:ascii="Palatino Linotype" w:hAnsi="Palatino Linotype"/>
          <w:b/>
          <w:i/>
          <w:sz w:val="20"/>
          <w:szCs w:val="20"/>
          <w:u w:val="single"/>
          <w:lang w:val="es-MX"/>
        </w:rPr>
        <w:t>Modelo I de Nota sobre Unidad de Medida</w:t>
      </w:r>
    </w:p>
    <w:p w:rsidR="007D0610" w:rsidRDefault="007D0610" w:rsidP="007D0610">
      <w:pPr>
        <w:jc w:val="both"/>
        <w:rPr>
          <w:lang w:val="es-MX"/>
        </w:rPr>
      </w:pPr>
    </w:p>
    <w:p w:rsidR="007D0610" w:rsidRPr="007D0610" w:rsidRDefault="007D0610" w:rsidP="007D0610">
      <w:pPr>
        <w:jc w:val="both"/>
        <w:rPr>
          <w:rFonts w:ascii="Palatino Linotype" w:hAnsi="Palatino Linotype"/>
          <w:i/>
          <w:sz w:val="20"/>
          <w:szCs w:val="20"/>
        </w:rPr>
      </w:pPr>
      <w:r w:rsidRPr="007D0610">
        <w:rPr>
          <w:rFonts w:ascii="Palatino Linotype" w:hAnsi="Palatino Linotype"/>
          <w:b/>
          <w:i/>
          <w:sz w:val="20"/>
          <w:szCs w:val="20"/>
          <w:u w:val="single"/>
          <w:lang w:val="es-MX"/>
        </w:rPr>
        <w:t>Caso:</w:t>
      </w:r>
      <w:r w:rsidRPr="007D0610">
        <w:rPr>
          <w:rFonts w:ascii="Palatino Linotype" w:hAnsi="Palatino Linotype"/>
          <w:b/>
          <w:i/>
          <w:sz w:val="20"/>
          <w:szCs w:val="20"/>
        </w:rPr>
        <w:t xml:space="preserve"> </w:t>
      </w:r>
      <w:r w:rsidRPr="007D0610">
        <w:rPr>
          <w:rFonts w:ascii="Palatino Linotype" w:hAnsi="Palatino Linotype"/>
          <w:i/>
          <w:sz w:val="20"/>
          <w:szCs w:val="20"/>
        </w:rPr>
        <w:t>El ente ha practicado la reexpresión de las cifras de los estados contables en períodos anteriores aplicando las respectivas normas contables profesionales: i) hasta el 30 de septiembre de 2003, conforme indicaron las normas contables profesionales; o ii) hasta la fecha que correspondió reexpresar</w:t>
      </w:r>
      <w:r w:rsidRPr="007D0610">
        <w:rPr>
          <w:sz w:val="20"/>
          <w:szCs w:val="20"/>
          <w:lang w:val="es-MX"/>
        </w:rPr>
        <w:t xml:space="preserve"> </w:t>
      </w:r>
      <w:r w:rsidRPr="007D0610">
        <w:rPr>
          <w:rFonts w:ascii="Palatino Linotype" w:hAnsi="Palatino Linotype"/>
          <w:i/>
          <w:sz w:val="20"/>
          <w:szCs w:val="20"/>
          <w:lang w:val="es-MX"/>
        </w:rPr>
        <w:t xml:space="preserve">en virtud de lo establecido por el Decreto P.E.N. N°  664/03 y lo consecuentemente dispuesto por el respectivo Organismo de Control, </w:t>
      </w:r>
      <w:r w:rsidRPr="007D0610">
        <w:rPr>
          <w:rFonts w:ascii="Palatino Linotype" w:hAnsi="Palatino Linotype"/>
          <w:i/>
          <w:sz w:val="20"/>
          <w:szCs w:val="20"/>
        </w:rPr>
        <w:t>no siendo significativos los efectos de las variaciones del IPIM operadas entre la fecha de discontinuación de la reexpresión  y el 30 de septiembre de 2003.</w:t>
      </w:r>
    </w:p>
    <w:p w:rsidR="007D0610" w:rsidRPr="00B05FD5" w:rsidRDefault="007D0610" w:rsidP="007D0610">
      <w:pPr>
        <w:jc w:val="both"/>
        <w:rPr>
          <w:rFonts w:ascii="Palatino Linotype" w:hAnsi="Palatino Linotype"/>
          <w:i/>
          <w:sz w:val="12"/>
          <w:szCs w:val="12"/>
          <w:lang w:val="es-MX"/>
        </w:rPr>
      </w:pPr>
    </w:p>
    <w:p w:rsidR="007D0610" w:rsidRDefault="007D0610" w:rsidP="007D0610">
      <w:pPr>
        <w:jc w:val="both"/>
        <w:rPr>
          <w:rFonts w:ascii="Palatino Linotype" w:hAnsi="Palatino Linotype"/>
          <w:i/>
          <w:sz w:val="20"/>
          <w:szCs w:val="20"/>
          <w:lang w:val="es-MX"/>
        </w:rPr>
      </w:pPr>
    </w:p>
    <w:p w:rsidR="007D0610" w:rsidRDefault="007D0610" w:rsidP="007D0610">
      <w:pPr>
        <w:jc w:val="both"/>
        <w:rPr>
          <w:rFonts w:ascii="Palatino Linotype" w:hAnsi="Palatino Linotype"/>
          <w:b/>
          <w:i/>
          <w:u w:val="single"/>
          <w:lang w:val="es-MX"/>
        </w:rPr>
      </w:pPr>
      <w:r w:rsidRPr="00476108">
        <w:rPr>
          <w:rFonts w:ascii="Palatino Linotype" w:hAnsi="Palatino Linotype"/>
          <w:b/>
          <w:i/>
          <w:u w:val="single"/>
          <w:lang w:val="es-MX"/>
        </w:rPr>
        <w:t>Unidad de Medida.</w:t>
      </w:r>
    </w:p>
    <w:p w:rsidR="007D0610" w:rsidRDefault="007D0610" w:rsidP="007D0610">
      <w:pPr>
        <w:jc w:val="both"/>
        <w:rPr>
          <w:rFonts w:ascii="Palatino Linotype" w:hAnsi="Palatino Linotype"/>
          <w:i/>
          <w:sz w:val="20"/>
          <w:szCs w:val="20"/>
          <w:lang w:val="es-MX"/>
        </w:rPr>
      </w:pPr>
    </w:p>
    <w:p w:rsidR="007D0610" w:rsidRPr="0094720A" w:rsidRDefault="007D0610" w:rsidP="007D0610">
      <w:pPr>
        <w:jc w:val="both"/>
        <w:rPr>
          <w:rFonts w:ascii="Palatino Linotype" w:hAnsi="Palatino Linotype"/>
          <w:i/>
          <w:sz w:val="20"/>
          <w:szCs w:val="20"/>
          <w:lang w:val="es-MX"/>
        </w:rPr>
      </w:pPr>
      <w:r w:rsidRPr="0094720A">
        <w:rPr>
          <w:rFonts w:ascii="Palatino Linotype" w:hAnsi="Palatino Linotype"/>
          <w:i/>
          <w:sz w:val="20"/>
          <w:szCs w:val="20"/>
          <w:lang w:val="es-MX"/>
        </w:rPr>
        <w:t xml:space="preserve">Los estados contables han sido preparados en moneda homogénea reconociendo en forma integral los efectos de la inflación de acuerdo con las correspondientes normas contables profesionales aplicables hasta el 30 de septiembre de 2003. Conforme lo dispuesto por </w:t>
      </w:r>
      <w:smartTag w:uri="urn:schemas-microsoft-com:office:smarttags" w:element="PersonName">
        <w:smartTagPr>
          <w:attr w:name="ProductID" w:val="la Federaci￳n Argentina"/>
        </w:smartTagPr>
        <w:r w:rsidRPr="0094720A">
          <w:rPr>
            <w:rFonts w:ascii="Palatino Linotype" w:hAnsi="Palatino Linotype"/>
            <w:i/>
            <w:sz w:val="20"/>
            <w:szCs w:val="20"/>
            <w:lang w:val="es-MX"/>
          </w:rPr>
          <w:t>la Federación Argentina</w:t>
        </w:r>
      </w:smartTag>
      <w:r w:rsidRPr="0094720A">
        <w:rPr>
          <w:rFonts w:ascii="Palatino Linotype" w:hAnsi="Palatino Linotype"/>
          <w:i/>
          <w:sz w:val="20"/>
          <w:szCs w:val="20"/>
          <w:lang w:val="es-MX"/>
        </w:rPr>
        <w:t xml:space="preserve"> de Consejos Profesionales de Ciencias Económicas a través de su Resolución N° 287/03, se ha discontinuado la reexpresión para reflejar las variaciones en el poder adquisitivo de la moneda a partir del 1° de octubre de 2003, criterio ratificado por </w:t>
      </w:r>
      <w:smartTag w:uri="urn:schemas-microsoft-com:office:smarttags" w:element="PersonName">
        <w:smartTagPr>
          <w:attr w:name="ProductID" w:val="la Resoluci￳n CD N"/>
        </w:smartTagPr>
        <w:smartTag w:uri="urn:schemas-microsoft-com:office:smarttags" w:element="PersonName">
          <w:smartTagPr>
            <w:attr w:name="ProductID" w:val="la Resoluci￳n CD"/>
          </w:smartTagPr>
          <w:r w:rsidRPr="0094720A">
            <w:rPr>
              <w:rFonts w:ascii="Palatino Linotype" w:hAnsi="Palatino Linotype"/>
              <w:i/>
              <w:sz w:val="20"/>
              <w:szCs w:val="20"/>
              <w:lang w:val="es-MX"/>
            </w:rPr>
            <w:t>la Resolución CD</w:t>
          </w:r>
        </w:smartTag>
        <w:r w:rsidRPr="0094720A">
          <w:rPr>
            <w:rFonts w:ascii="Palatino Linotype" w:hAnsi="Palatino Linotype"/>
            <w:i/>
            <w:sz w:val="20"/>
            <w:szCs w:val="20"/>
            <w:lang w:val="es-MX"/>
          </w:rPr>
          <w:t xml:space="preserve"> N</w:t>
        </w:r>
      </w:smartTag>
      <w:r w:rsidRPr="0094720A">
        <w:rPr>
          <w:rFonts w:ascii="Palatino Linotype" w:hAnsi="Palatino Linotype"/>
          <w:i/>
          <w:sz w:val="20"/>
          <w:szCs w:val="20"/>
          <w:lang w:val="es-MX"/>
        </w:rPr>
        <w:t xml:space="preserve">° 3150 del Consejo Profesional de Ciencias Económicas de la Provincia de Buenos Aires. </w:t>
      </w:r>
      <w:r w:rsidRPr="0094720A">
        <w:rPr>
          <w:rFonts w:ascii="Palatino Linotype" w:hAnsi="Palatino Linotype"/>
          <w:b/>
          <w:i/>
          <w:sz w:val="20"/>
          <w:szCs w:val="20"/>
          <w:lang w:val="es-MX"/>
        </w:rPr>
        <w:t>[1]</w:t>
      </w:r>
      <w:r w:rsidRPr="0094720A">
        <w:rPr>
          <w:rFonts w:ascii="Palatino Linotype" w:hAnsi="Palatino Linotype"/>
          <w:i/>
          <w:sz w:val="20"/>
          <w:szCs w:val="20"/>
          <w:lang w:val="es-MX"/>
        </w:rPr>
        <w:t xml:space="preserve"> </w:t>
      </w:r>
    </w:p>
    <w:p w:rsidR="007D0610" w:rsidRPr="00B05FD5" w:rsidRDefault="007D0610" w:rsidP="007D0610">
      <w:pPr>
        <w:jc w:val="both"/>
        <w:rPr>
          <w:rFonts w:ascii="Palatino Linotype" w:hAnsi="Palatino Linotype"/>
          <w:i/>
          <w:sz w:val="12"/>
          <w:szCs w:val="12"/>
          <w:lang w:val="es-MX"/>
        </w:rPr>
      </w:pPr>
    </w:p>
    <w:p w:rsidR="007D0610" w:rsidRPr="0094720A" w:rsidRDefault="007D0610" w:rsidP="007D0610">
      <w:pPr>
        <w:jc w:val="both"/>
        <w:rPr>
          <w:rFonts w:ascii="Palatino Linotype" w:hAnsi="Palatino Linotype"/>
          <w:i/>
          <w:sz w:val="20"/>
          <w:szCs w:val="20"/>
          <w:lang w:val="es-MX"/>
        </w:rPr>
      </w:pPr>
      <w:r w:rsidRPr="0094720A">
        <w:rPr>
          <w:rFonts w:ascii="Palatino Linotype" w:hAnsi="Palatino Linotype"/>
          <w:i/>
          <w:sz w:val="20"/>
          <w:szCs w:val="20"/>
          <w:lang w:val="es-MX"/>
        </w:rPr>
        <w:t xml:space="preserve">A partir de </w:t>
      </w:r>
      <w:smartTag w:uri="urn:schemas-microsoft-com:office:smarttags" w:element="PersonName">
        <w:smartTagPr>
          <w:attr w:name="ProductID" w:val="la Resoluci￳n T￩cnica N"/>
        </w:smartTagPr>
        <w:r w:rsidRPr="0094720A">
          <w:rPr>
            <w:rFonts w:ascii="Palatino Linotype" w:hAnsi="Palatino Linotype"/>
            <w:i/>
            <w:sz w:val="20"/>
            <w:szCs w:val="20"/>
            <w:lang w:val="es-MX"/>
          </w:rPr>
          <w:t>la Resolución Técnica N</w:t>
        </w:r>
      </w:smartTag>
      <w:r w:rsidRPr="0094720A">
        <w:rPr>
          <w:rFonts w:ascii="Palatino Linotype" w:hAnsi="Palatino Linotype"/>
          <w:i/>
          <w:sz w:val="20"/>
          <w:szCs w:val="20"/>
          <w:lang w:val="es-MX"/>
        </w:rPr>
        <w:t>° 39, aprobada por Resolución CD N° 3519 del Consejo Profesional de Ciencias Económicas de la Provincia de Buenos Aires con fecha 20 de diciembre de 2013, y  de su normativa técnica complementaria,  la necesidad de reexpresar los estados contables para reflejar los cambios en el poder adquisitivo de la moneda viene indicada por la existencia o no de un contexto de inflación tal que lleve a calificar a la economía de altamente inflacionaria.</w:t>
      </w:r>
    </w:p>
    <w:p w:rsidR="007D0610" w:rsidRPr="00B05FD5" w:rsidRDefault="007D0610" w:rsidP="007D0610">
      <w:pPr>
        <w:jc w:val="both"/>
        <w:rPr>
          <w:rFonts w:ascii="Palatino Linotype" w:hAnsi="Palatino Linotype"/>
          <w:i/>
          <w:sz w:val="12"/>
          <w:szCs w:val="12"/>
          <w:lang w:val="es-MX"/>
        </w:rPr>
      </w:pPr>
    </w:p>
    <w:p w:rsidR="007D0610" w:rsidRPr="0094720A" w:rsidRDefault="007D0610" w:rsidP="007D0610">
      <w:pPr>
        <w:jc w:val="both"/>
        <w:rPr>
          <w:rFonts w:ascii="Palatino Linotype" w:hAnsi="Palatino Linotype"/>
          <w:i/>
          <w:sz w:val="20"/>
          <w:szCs w:val="20"/>
          <w:lang w:val="es-MX"/>
        </w:rPr>
      </w:pPr>
      <w:r w:rsidRPr="0094720A">
        <w:rPr>
          <w:rFonts w:ascii="Palatino Linotype" w:hAnsi="Palatino Linotype"/>
          <w:i/>
          <w:sz w:val="20"/>
          <w:szCs w:val="20"/>
          <w:lang w:val="es-MX"/>
        </w:rPr>
        <w:t>A los fines de identificar la existencia de una economía altamente inflacionaria, la RT N° 39 y su normativa técnica complementaria,</w:t>
      </w:r>
      <w:r w:rsidR="001F3A51">
        <w:rPr>
          <w:rFonts w:ascii="Palatino Linotype" w:hAnsi="Palatino Linotype"/>
          <w:i/>
          <w:sz w:val="20"/>
          <w:szCs w:val="20"/>
          <w:lang w:val="es-MX"/>
        </w:rPr>
        <w:t xml:space="preserve"> actualmente la Interpretación N° 8 de Normas Profesionales,</w:t>
      </w:r>
      <w:r w:rsidRPr="0094720A">
        <w:rPr>
          <w:rFonts w:ascii="Palatino Linotype" w:hAnsi="Palatino Linotype"/>
          <w:i/>
          <w:sz w:val="20"/>
          <w:szCs w:val="20"/>
          <w:lang w:val="es-MX"/>
        </w:rPr>
        <w:t xml:space="preserve"> brindan una pauta cuantitativa que es condición necesaria para proceder a reexpresar las cifras de los estados contables, dicha pauta consiste en que la tasa acumulada de inflación en tres años, considerando el Índice de Precios Internos al por Mayor elaborado por el Instituto Nacional de Estadísticas y Censos (INDEC), alcance o sobrepase el 100%. También la norma proporciona una serie de pautas cualitativas que serían de </w:t>
      </w:r>
      <w:r w:rsidRPr="0094720A">
        <w:rPr>
          <w:rFonts w:ascii="Palatino Linotype" w:hAnsi="Palatino Linotype"/>
          <w:i/>
          <w:sz w:val="20"/>
          <w:szCs w:val="20"/>
          <w:lang w:val="es-MX"/>
        </w:rPr>
        <w:lastRenderedPageBreak/>
        <w:t>utilidad para determinar si corresponde efectuar la referida reexpresión en un escenario en que existiera ausencia prolongada de un índice oficial de precios.</w:t>
      </w:r>
    </w:p>
    <w:p w:rsidR="007D0610" w:rsidRPr="00B05FD5" w:rsidRDefault="007D0610" w:rsidP="007D0610">
      <w:pPr>
        <w:jc w:val="both"/>
        <w:rPr>
          <w:rFonts w:ascii="Palatino Linotype" w:hAnsi="Palatino Linotype"/>
          <w:i/>
          <w:sz w:val="12"/>
          <w:szCs w:val="12"/>
          <w:lang w:val="es-MX"/>
        </w:rPr>
      </w:pPr>
    </w:p>
    <w:p w:rsidR="007D0610" w:rsidRPr="00C60304" w:rsidRDefault="007D0610" w:rsidP="007D0610">
      <w:pPr>
        <w:jc w:val="both"/>
        <w:rPr>
          <w:rFonts w:ascii="Palatino Linotype" w:hAnsi="Palatino Linotype"/>
          <w:i/>
          <w:sz w:val="20"/>
          <w:szCs w:val="20"/>
        </w:rPr>
      </w:pPr>
      <w:r w:rsidRPr="00C60304">
        <w:rPr>
          <w:rFonts w:ascii="Palatino Linotype" w:hAnsi="Palatino Linotype"/>
          <w:i/>
          <w:sz w:val="20"/>
          <w:szCs w:val="20"/>
        </w:rPr>
        <w:t>Con fecha 07 de enero de 2016 el Poder Ejecutivo Nacional declaró en estado de emergencia administrativa al Sistema Estadístico Nacional y a su órgano rector, el INDEC y, en el marco de la emergencia, el INDEC discontinuó la emisión del Índice de Precios Internos al por Mayor (IPIM) durante los meses de noviembre y diciembre del año 2015. La publicación del IPIM</w:t>
      </w:r>
      <w:r w:rsidR="001F3A51">
        <w:rPr>
          <w:rFonts w:ascii="Palatino Linotype" w:hAnsi="Palatino Linotype"/>
          <w:i/>
          <w:sz w:val="20"/>
          <w:szCs w:val="20"/>
        </w:rPr>
        <w:t xml:space="preserve"> (expresado en términos de variación mensual)</w:t>
      </w:r>
      <w:r w:rsidRPr="00C60304">
        <w:rPr>
          <w:rFonts w:ascii="Palatino Linotype" w:hAnsi="Palatino Linotype"/>
          <w:i/>
          <w:sz w:val="20"/>
          <w:szCs w:val="20"/>
        </w:rPr>
        <w:t xml:space="preserve"> ha sido retomada por el mencionado Instituto desde el mes de enero de 2016.</w:t>
      </w:r>
    </w:p>
    <w:p w:rsidR="007D0610" w:rsidRDefault="007D0610" w:rsidP="007D0610">
      <w:pPr>
        <w:jc w:val="both"/>
        <w:rPr>
          <w:rFonts w:ascii="Palatino Linotype" w:hAnsi="Palatino Linotype"/>
          <w:i/>
          <w:sz w:val="20"/>
          <w:szCs w:val="20"/>
        </w:rPr>
      </w:pPr>
    </w:p>
    <w:p w:rsidR="007D0610" w:rsidRPr="00C60304" w:rsidRDefault="007D0610" w:rsidP="007D0610">
      <w:pPr>
        <w:jc w:val="both"/>
        <w:rPr>
          <w:rFonts w:ascii="Palatino Linotype" w:hAnsi="Palatino Linotype"/>
          <w:i/>
          <w:sz w:val="20"/>
          <w:szCs w:val="20"/>
        </w:rPr>
      </w:pPr>
      <w:r w:rsidRPr="00C60304">
        <w:rPr>
          <w:rFonts w:ascii="Palatino Linotype" w:hAnsi="Palatino Linotype"/>
          <w:i/>
          <w:sz w:val="20"/>
          <w:szCs w:val="20"/>
        </w:rPr>
        <w:t xml:space="preserve">Ante  lo establecido por </w:t>
      </w:r>
      <w:r>
        <w:rPr>
          <w:rFonts w:ascii="Palatino Linotype" w:hAnsi="Palatino Linotype"/>
          <w:i/>
          <w:sz w:val="20"/>
          <w:szCs w:val="20"/>
        </w:rPr>
        <w:t>la mencionada normativa profesional</w:t>
      </w:r>
      <w:r w:rsidRPr="00C60304">
        <w:rPr>
          <w:rFonts w:ascii="Palatino Linotype" w:hAnsi="Palatino Linotype"/>
          <w:i/>
          <w:sz w:val="20"/>
          <w:szCs w:val="20"/>
        </w:rPr>
        <w:t xml:space="preserve"> y la falta de la información emitida por el INDEC sobre la evolución del IPIM correspondiente a los dos últimos meses del año 2015, al efecto de evaluar si se ha alcanzado o sobrepasado la pauta cuantitativa señalada se han considerado dichos meses como “sin datos”.  Con la aplicación del criterio indicado, la evolución del IPIM durante el trienio cerrado al 30 de junio de 2016 que es objetivamente determinable con la información de precios internos al por mayor proporcionada por el INDEC no alcanza el 100%.   </w:t>
      </w:r>
    </w:p>
    <w:p w:rsidR="007D0610" w:rsidRPr="007D0610" w:rsidRDefault="007D0610" w:rsidP="007D0610">
      <w:pPr>
        <w:jc w:val="both"/>
        <w:rPr>
          <w:rFonts w:ascii="Palatino Linotype" w:hAnsi="Palatino Linotype"/>
          <w:i/>
          <w:sz w:val="12"/>
          <w:szCs w:val="12"/>
        </w:rPr>
      </w:pPr>
    </w:p>
    <w:p w:rsidR="007D0610" w:rsidRPr="0094720A" w:rsidRDefault="007D0610" w:rsidP="007D0610">
      <w:pPr>
        <w:jc w:val="both"/>
        <w:rPr>
          <w:rFonts w:ascii="Palatino Linotype" w:hAnsi="Palatino Linotype"/>
          <w:i/>
          <w:sz w:val="20"/>
          <w:szCs w:val="20"/>
          <w:lang w:val="es-MX"/>
        </w:rPr>
      </w:pPr>
      <w:r w:rsidRPr="0094720A">
        <w:rPr>
          <w:rFonts w:ascii="Palatino Linotype" w:hAnsi="Palatino Linotype"/>
          <w:i/>
          <w:sz w:val="20"/>
          <w:szCs w:val="20"/>
          <w:lang w:val="es-MX"/>
        </w:rPr>
        <w:t>Por lo tanto, de conformidad a lo indicado por la pauta cuantitativa antes mencionada, en la confección de estos estados contables se ha mantenido la discontinuación de la aplicación del mecanismo de reexpresión de las cifras para reflejar los cambios en el poder adquisitivo de la moneda efectuada a partir del 1° de octubre de 2003, fecha desde la cual se utiliza la moneda nominal como moneda homogénea.</w:t>
      </w:r>
      <w:r w:rsidRPr="00203030">
        <w:rPr>
          <w:rFonts w:ascii="Palatino Linotype" w:hAnsi="Palatino Linotype"/>
          <w:b/>
          <w:i/>
          <w:sz w:val="20"/>
          <w:szCs w:val="20"/>
          <w:lang w:val="es-MX"/>
        </w:rPr>
        <w:t xml:space="preserve"> </w:t>
      </w:r>
      <w:r w:rsidRPr="0094720A">
        <w:rPr>
          <w:rFonts w:ascii="Palatino Linotype" w:hAnsi="Palatino Linotype"/>
          <w:b/>
          <w:i/>
          <w:sz w:val="20"/>
          <w:szCs w:val="20"/>
          <w:lang w:val="es-MX"/>
        </w:rPr>
        <w:t>[</w:t>
      </w:r>
      <w:r>
        <w:rPr>
          <w:rFonts w:ascii="Palatino Linotype" w:hAnsi="Palatino Linotype"/>
          <w:b/>
          <w:i/>
          <w:sz w:val="20"/>
          <w:szCs w:val="20"/>
          <w:lang w:val="es-MX"/>
        </w:rPr>
        <w:t>2</w:t>
      </w:r>
      <w:r w:rsidRPr="0094720A">
        <w:rPr>
          <w:rFonts w:ascii="Palatino Linotype" w:hAnsi="Palatino Linotype"/>
          <w:b/>
          <w:i/>
          <w:sz w:val="20"/>
          <w:szCs w:val="20"/>
          <w:lang w:val="es-MX"/>
        </w:rPr>
        <w:t>]</w:t>
      </w:r>
    </w:p>
    <w:p w:rsidR="007D0610" w:rsidRPr="0094720A" w:rsidRDefault="007D0610" w:rsidP="007D0610">
      <w:pPr>
        <w:jc w:val="both"/>
        <w:rPr>
          <w:rFonts w:ascii="Palatino Linotype" w:hAnsi="Palatino Linotype"/>
          <w:i/>
          <w:sz w:val="20"/>
          <w:szCs w:val="20"/>
          <w:lang w:val="es-MX"/>
        </w:rPr>
      </w:pPr>
    </w:p>
    <w:p w:rsidR="007D0610" w:rsidRPr="0094720A" w:rsidRDefault="007D0610" w:rsidP="007D0610">
      <w:pPr>
        <w:jc w:val="both"/>
        <w:rPr>
          <w:rFonts w:ascii="Palatino Linotype" w:hAnsi="Palatino Linotype"/>
          <w:i/>
          <w:sz w:val="17"/>
          <w:szCs w:val="17"/>
          <w:lang w:val="es-MX"/>
        </w:rPr>
      </w:pPr>
      <w:r w:rsidRPr="0094720A">
        <w:rPr>
          <w:rFonts w:ascii="Palatino Linotype" w:hAnsi="Palatino Linotype"/>
          <w:b/>
          <w:i/>
          <w:sz w:val="17"/>
          <w:szCs w:val="17"/>
          <w:lang w:val="es-MX"/>
        </w:rPr>
        <w:t>[1]</w:t>
      </w:r>
      <w:r w:rsidRPr="0094720A">
        <w:rPr>
          <w:rFonts w:ascii="Palatino Linotype" w:hAnsi="Palatino Linotype"/>
          <w:i/>
          <w:sz w:val="17"/>
          <w:szCs w:val="17"/>
          <w:lang w:val="es-MX"/>
        </w:rPr>
        <w:t xml:space="preserve"> </w:t>
      </w:r>
      <w:r>
        <w:rPr>
          <w:rFonts w:ascii="Palatino Linotype" w:hAnsi="Palatino Linotype"/>
          <w:i/>
          <w:sz w:val="17"/>
          <w:szCs w:val="17"/>
          <w:lang w:val="es-MX"/>
        </w:rPr>
        <w:t xml:space="preserve">y </w:t>
      </w:r>
      <w:r w:rsidRPr="0094720A">
        <w:rPr>
          <w:rFonts w:ascii="Palatino Linotype" w:hAnsi="Palatino Linotype"/>
          <w:b/>
          <w:i/>
          <w:sz w:val="17"/>
          <w:szCs w:val="17"/>
          <w:lang w:val="es-MX"/>
        </w:rPr>
        <w:t>[</w:t>
      </w:r>
      <w:r>
        <w:rPr>
          <w:rFonts w:ascii="Palatino Linotype" w:hAnsi="Palatino Linotype"/>
          <w:b/>
          <w:i/>
          <w:sz w:val="17"/>
          <w:szCs w:val="17"/>
          <w:lang w:val="es-MX"/>
        </w:rPr>
        <w:t>2</w:t>
      </w:r>
      <w:r w:rsidRPr="0094720A">
        <w:rPr>
          <w:rFonts w:ascii="Palatino Linotype" w:hAnsi="Palatino Linotype"/>
          <w:b/>
          <w:i/>
          <w:sz w:val="17"/>
          <w:szCs w:val="17"/>
          <w:lang w:val="es-MX"/>
        </w:rPr>
        <w:t>]</w:t>
      </w:r>
      <w:r w:rsidRPr="00203030">
        <w:rPr>
          <w:rFonts w:ascii="Palatino Linotype" w:hAnsi="Palatino Linotype"/>
          <w:i/>
          <w:sz w:val="17"/>
          <w:szCs w:val="17"/>
          <w:lang w:val="es-MX"/>
        </w:rPr>
        <w:t xml:space="preserve"> </w:t>
      </w:r>
      <w:r w:rsidRPr="0094720A">
        <w:rPr>
          <w:rFonts w:ascii="Palatino Linotype" w:hAnsi="Palatino Linotype"/>
          <w:i/>
          <w:sz w:val="17"/>
          <w:szCs w:val="17"/>
          <w:lang w:val="es-MX"/>
        </w:rPr>
        <w:t xml:space="preserve">En aquellos casos en que el ente haya discontinuado la reexpresión de las cifras de los estados contables durante el año 2003 en virtud de lo establecido por el Decreto PEN N° 664/03 y la normativa consecuentemente emitida por su Organismo de Control, se propone la utilización </w:t>
      </w:r>
      <w:r>
        <w:rPr>
          <w:rFonts w:ascii="Palatino Linotype" w:hAnsi="Palatino Linotype"/>
          <w:i/>
          <w:sz w:val="17"/>
          <w:szCs w:val="17"/>
          <w:lang w:val="es-MX"/>
        </w:rPr>
        <w:t>de los siguientes textos para los párrafos primero y sexto del modelo de nota</w:t>
      </w:r>
      <w:r w:rsidRPr="0094720A">
        <w:rPr>
          <w:rFonts w:ascii="Palatino Linotype" w:hAnsi="Palatino Linotype"/>
          <w:i/>
          <w:sz w:val="17"/>
          <w:szCs w:val="17"/>
          <w:lang w:val="es-MX"/>
        </w:rPr>
        <w:t>:</w:t>
      </w:r>
    </w:p>
    <w:p w:rsidR="007D0610" w:rsidRPr="0094720A" w:rsidRDefault="007D0610" w:rsidP="007D0610">
      <w:pPr>
        <w:jc w:val="both"/>
        <w:rPr>
          <w:rFonts w:ascii="Palatino Linotype" w:hAnsi="Palatino Linotype"/>
          <w:i/>
          <w:sz w:val="17"/>
          <w:szCs w:val="17"/>
          <w:lang w:val="es-MX"/>
        </w:rPr>
      </w:pPr>
    </w:p>
    <w:p w:rsidR="007D0610" w:rsidRPr="0094720A" w:rsidRDefault="007D0610" w:rsidP="007D0610">
      <w:pPr>
        <w:jc w:val="both"/>
        <w:rPr>
          <w:rFonts w:ascii="Palatino Linotype" w:hAnsi="Palatino Linotype"/>
          <w:i/>
          <w:sz w:val="17"/>
          <w:szCs w:val="17"/>
          <w:lang w:val="es-MX"/>
        </w:rPr>
      </w:pPr>
      <w:r>
        <w:rPr>
          <w:rFonts w:ascii="Palatino Linotype" w:hAnsi="Palatino Linotype"/>
          <w:i/>
          <w:sz w:val="17"/>
          <w:szCs w:val="17"/>
          <w:lang w:val="es-MX"/>
        </w:rPr>
        <w:t>“</w:t>
      </w:r>
      <w:r w:rsidRPr="0094720A">
        <w:rPr>
          <w:rFonts w:ascii="Palatino Linotype" w:hAnsi="Palatino Linotype"/>
          <w:i/>
          <w:sz w:val="17"/>
          <w:szCs w:val="17"/>
          <w:lang w:val="es-MX"/>
        </w:rPr>
        <w:t>Los estados contables han sido preparados en moneda homogénea reconociendo en forma integral los efectos de la inflación de acuerdo con las correspondientes normas contables profesionales aplicables hasta el …. de …… de 2003</w:t>
      </w:r>
      <w:r>
        <w:rPr>
          <w:rFonts w:ascii="Palatino Linotype" w:hAnsi="Palatino Linotype"/>
          <w:i/>
          <w:sz w:val="17"/>
          <w:szCs w:val="17"/>
          <w:lang w:val="es-MX"/>
        </w:rPr>
        <w:t xml:space="preserve"> </w:t>
      </w:r>
      <w:r w:rsidRPr="0094720A">
        <w:rPr>
          <w:rFonts w:ascii="Palatino Linotype" w:hAnsi="Palatino Linotype"/>
          <w:i/>
          <w:sz w:val="17"/>
          <w:szCs w:val="17"/>
        </w:rPr>
        <w:t>[fecha hasta la cual se realizó la reexpresión según normativa del pertinente Organismo de Control]</w:t>
      </w:r>
      <w:r w:rsidRPr="0094720A">
        <w:rPr>
          <w:rFonts w:ascii="Palatino Linotype" w:hAnsi="Palatino Linotype"/>
          <w:i/>
          <w:sz w:val="17"/>
          <w:szCs w:val="17"/>
          <w:lang w:val="es-MX"/>
        </w:rPr>
        <w:t xml:space="preserve">, fecha en la que se discontinuó la reexpresión  de las cifras de los estados contables para reflejar las variaciones en el poder adquisitivo de la moneda en virtud de lo establecido por el Decreto P.E.N. N°  664/03 y lo consecuentemente dispuesto por </w:t>
      </w:r>
      <w:smartTag w:uri="urn:schemas-microsoft-com:office:smarttags" w:element="PersonName">
        <w:smartTagPr>
          <w:attr w:name="ProductID" w:val="la Resoluci￳n N"/>
        </w:smartTagPr>
        <w:r w:rsidRPr="0094720A">
          <w:rPr>
            <w:rFonts w:ascii="Palatino Linotype" w:hAnsi="Palatino Linotype"/>
            <w:i/>
            <w:sz w:val="17"/>
            <w:szCs w:val="17"/>
            <w:lang w:val="es-MX"/>
          </w:rPr>
          <w:t>la Resolución N</w:t>
        </w:r>
      </w:smartTag>
      <w:r w:rsidRPr="0094720A">
        <w:rPr>
          <w:rFonts w:ascii="Palatino Linotype" w:hAnsi="Palatino Linotype"/>
          <w:i/>
          <w:sz w:val="17"/>
          <w:szCs w:val="17"/>
          <w:lang w:val="es-MX"/>
        </w:rPr>
        <w:t xml:space="preserve">°… del ………. [Organismo de Control respectivo]. Conforme lo resuelto por </w:t>
      </w:r>
      <w:smartTag w:uri="urn:schemas-microsoft-com:office:smarttags" w:element="PersonName">
        <w:smartTagPr>
          <w:attr w:name="ProductID" w:val="la Federaci￳n Argentina"/>
        </w:smartTagPr>
        <w:r w:rsidRPr="0094720A">
          <w:rPr>
            <w:rFonts w:ascii="Palatino Linotype" w:hAnsi="Palatino Linotype"/>
            <w:i/>
            <w:sz w:val="17"/>
            <w:szCs w:val="17"/>
            <w:lang w:val="es-MX"/>
          </w:rPr>
          <w:t>la Federación Argentina</w:t>
        </w:r>
      </w:smartTag>
      <w:r w:rsidRPr="0094720A">
        <w:rPr>
          <w:rFonts w:ascii="Palatino Linotype" w:hAnsi="Palatino Linotype"/>
          <w:i/>
          <w:sz w:val="17"/>
          <w:szCs w:val="17"/>
          <w:lang w:val="es-MX"/>
        </w:rPr>
        <w:t xml:space="preserve">  de Consejos Profesionales de Ciencias Económicas a través de su Resolución N° 287/03 y </w:t>
      </w:r>
      <w:smartTag w:uri="urn:schemas-microsoft-com:office:smarttags" w:element="PersonName">
        <w:smartTagPr>
          <w:attr w:name="ProductID" w:val="la Resoluci￳n CD N"/>
        </w:smartTagPr>
        <w:r w:rsidRPr="0094720A">
          <w:rPr>
            <w:rFonts w:ascii="Palatino Linotype" w:hAnsi="Palatino Linotype"/>
            <w:i/>
            <w:sz w:val="17"/>
            <w:szCs w:val="17"/>
            <w:lang w:val="es-MX"/>
          </w:rPr>
          <w:t>la Resolución CD N</w:t>
        </w:r>
      </w:smartTag>
      <w:r w:rsidRPr="0094720A">
        <w:rPr>
          <w:rFonts w:ascii="Palatino Linotype" w:hAnsi="Palatino Linotype"/>
          <w:i/>
          <w:sz w:val="17"/>
          <w:szCs w:val="17"/>
          <w:lang w:val="es-MX"/>
        </w:rPr>
        <w:t xml:space="preserve">° 3150 del Consejo Profesional de Ciencias Económicas de la Provincia de Buenos Aires que la ratificó, de acuerdo a normas contables profesionales hubiera correspondido  la discontinuación  de la reexpresión a partir del 1° de octubre de 2003;  sin embargo, </w:t>
      </w:r>
      <w:r w:rsidRPr="0094720A">
        <w:rPr>
          <w:rFonts w:ascii="Palatino Linotype" w:hAnsi="Palatino Linotype"/>
          <w:i/>
          <w:sz w:val="17"/>
          <w:szCs w:val="17"/>
        </w:rPr>
        <w:t>los efectos de dichas variaciones operadas entre el … de ….. [fecha hasta la cual se realizó la reexpresión] y el 30 de septiembre de 2003 no fueron significativos</w:t>
      </w:r>
      <w:r w:rsidRPr="0094720A">
        <w:rPr>
          <w:rFonts w:ascii="Palatino Linotype" w:hAnsi="Palatino Linotype"/>
          <w:i/>
          <w:sz w:val="17"/>
          <w:szCs w:val="17"/>
          <w:lang w:val="es-MX"/>
        </w:rPr>
        <w:t>.</w:t>
      </w:r>
      <w:r>
        <w:rPr>
          <w:rFonts w:ascii="Palatino Linotype" w:hAnsi="Palatino Linotype"/>
          <w:i/>
          <w:sz w:val="17"/>
          <w:szCs w:val="17"/>
          <w:lang w:val="es-MX"/>
        </w:rPr>
        <w:t>”</w:t>
      </w:r>
    </w:p>
    <w:p w:rsidR="007D0610" w:rsidRDefault="007D0610" w:rsidP="007D0610">
      <w:pPr>
        <w:jc w:val="both"/>
        <w:rPr>
          <w:sz w:val="20"/>
          <w:szCs w:val="20"/>
          <w:lang w:val="es-MX"/>
        </w:rPr>
      </w:pPr>
    </w:p>
    <w:p w:rsidR="007D0610" w:rsidRDefault="007D0610" w:rsidP="007D0610">
      <w:pPr>
        <w:jc w:val="both"/>
        <w:rPr>
          <w:rFonts w:ascii="Palatino Linotype" w:hAnsi="Palatino Linotype"/>
          <w:i/>
          <w:sz w:val="17"/>
          <w:szCs w:val="17"/>
          <w:lang w:val="es-MX"/>
        </w:rPr>
      </w:pPr>
      <w:r w:rsidRPr="009C2C24">
        <w:rPr>
          <w:sz w:val="17"/>
          <w:szCs w:val="17"/>
          <w:lang w:val="es-MX"/>
        </w:rPr>
        <w:t>“</w:t>
      </w:r>
      <w:r w:rsidRPr="009C2C24">
        <w:rPr>
          <w:rFonts w:ascii="Palatino Linotype" w:hAnsi="Palatino Linotype"/>
          <w:i/>
          <w:sz w:val="17"/>
          <w:szCs w:val="17"/>
          <w:lang w:val="es-MX"/>
        </w:rPr>
        <w:t xml:space="preserve">Por lo tanto, </w:t>
      </w:r>
      <w:r>
        <w:rPr>
          <w:rFonts w:ascii="Palatino Linotype" w:hAnsi="Palatino Linotype"/>
          <w:i/>
          <w:sz w:val="17"/>
          <w:szCs w:val="17"/>
          <w:lang w:val="es-MX"/>
        </w:rPr>
        <w:t xml:space="preserve">la no aplicación del mecanismo de </w:t>
      </w:r>
      <w:r w:rsidRPr="009C2C24">
        <w:rPr>
          <w:rFonts w:ascii="Palatino Linotype" w:hAnsi="Palatino Linotype"/>
          <w:i/>
          <w:sz w:val="17"/>
          <w:szCs w:val="17"/>
          <w:lang w:val="es-MX"/>
        </w:rPr>
        <w:t>reexpre</w:t>
      </w:r>
      <w:r>
        <w:rPr>
          <w:rFonts w:ascii="Palatino Linotype" w:hAnsi="Palatino Linotype"/>
          <w:i/>
          <w:sz w:val="17"/>
          <w:szCs w:val="17"/>
          <w:lang w:val="es-MX"/>
        </w:rPr>
        <w:t>sión de</w:t>
      </w:r>
      <w:r w:rsidRPr="009C2C24">
        <w:rPr>
          <w:rFonts w:ascii="Palatino Linotype" w:hAnsi="Palatino Linotype"/>
          <w:i/>
          <w:sz w:val="17"/>
          <w:szCs w:val="17"/>
          <w:lang w:val="es-MX"/>
        </w:rPr>
        <w:t xml:space="preserve"> las cifras para reflejar los cambios en el poder adquisitivo de la moneda</w:t>
      </w:r>
      <w:r>
        <w:rPr>
          <w:rFonts w:ascii="Palatino Linotype" w:hAnsi="Palatino Linotype"/>
          <w:i/>
          <w:sz w:val="17"/>
          <w:szCs w:val="17"/>
          <w:lang w:val="es-MX"/>
        </w:rPr>
        <w:t xml:space="preserve"> por haberse discontinuado el empleo del mismo conforme se indica en la presente nota</w:t>
      </w:r>
      <w:r w:rsidRPr="009C2C24">
        <w:rPr>
          <w:rFonts w:ascii="Palatino Linotype" w:hAnsi="Palatino Linotype"/>
          <w:i/>
          <w:sz w:val="17"/>
          <w:szCs w:val="17"/>
          <w:lang w:val="es-MX"/>
        </w:rPr>
        <w:t>, utilizando</w:t>
      </w:r>
      <w:r>
        <w:rPr>
          <w:rFonts w:ascii="Palatino Linotype" w:hAnsi="Palatino Linotype"/>
          <w:i/>
          <w:sz w:val="17"/>
          <w:szCs w:val="17"/>
          <w:lang w:val="es-MX"/>
        </w:rPr>
        <w:t xml:space="preserve"> a partir de la discontinuación</w:t>
      </w:r>
      <w:r w:rsidRPr="009C2C24">
        <w:rPr>
          <w:rFonts w:ascii="Palatino Linotype" w:hAnsi="Palatino Linotype"/>
          <w:i/>
          <w:sz w:val="17"/>
          <w:szCs w:val="17"/>
          <w:lang w:val="es-MX"/>
        </w:rPr>
        <w:t xml:space="preserve"> la moneda nominal como moneda homogénea, es concordante con lo establecido por la</w:t>
      </w:r>
      <w:r>
        <w:rPr>
          <w:rFonts w:ascii="Palatino Linotype" w:hAnsi="Palatino Linotype"/>
          <w:i/>
          <w:sz w:val="17"/>
          <w:szCs w:val="17"/>
          <w:lang w:val="es-MX"/>
        </w:rPr>
        <w:t xml:space="preserve">s normas contables profesionales a partir de la vigencia de </w:t>
      </w:r>
      <w:smartTag w:uri="urn:schemas-microsoft-com:office:smarttags" w:element="PersonName">
        <w:smartTagPr>
          <w:attr w:name="ProductID" w:val="la Resoluci￳n T￩cnica N"/>
        </w:smartTagPr>
        <w:r>
          <w:rPr>
            <w:rFonts w:ascii="Palatino Linotype" w:hAnsi="Palatino Linotype"/>
            <w:i/>
            <w:sz w:val="17"/>
            <w:szCs w:val="17"/>
            <w:lang w:val="es-MX"/>
          </w:rPr>
          <w:t>la</w:t>
        </w:r>
        <w:r w:rsidRPr="009C2C24">
          <w:rPr>
            <w:rFonts w:ascii="Palatino Linotype" w:hAnsi="Palatino Linotype"/>
            <w:i/>
            <w:sz w:val="17"/>
            <w:szCs w:val="17"/>
            <w:lang w:val="es-MX"/>
          </w:rPr>
          <w:t xml:space="preserve"> Resolución Técnica N</w:t>
        </w:r>
      </w:smartTag>
      <w:r w:rsidRPr="009C2C24">
        <w:rPr>
          <w:rFonts w:ascii="Palatino Linotype" w:hAnsi="Palatino Linotype"/>
          <w:i/>
          <w:sz w:val="17"/>
          <w:szCs w:val="17"/>
          <w:lang w:val="es-MX"/>
        </w:rPr>
        <w:t>° 39 y su normativa complementaria.”</w:t>
      </w:r>
    </w:p>
    <w:p w:rsidR="007D0610" w:rsidRDefault="007D0610" w:rsidP="007D0610">
      <w:pPr>
        <w:jc w:val="both"/>
        <w:rPr>
          <w:rFonts w:ascii="Palatino Linotype" w:hAnsi="Palatino Linotype"/>
          <w:i/>
          <w:sz w:val="17"/>
          <w:szCs w:val="17"/>
          <w:lang w:val="es-MX"/>
        </w:rPr>
      </w:pPr>
    </w:p>
    <w:p w:rsidR="007D0610" w:rsidRDefault="007D0610" w:rsidP="007D0610">
      <w:pPr>
        <w:jc w:val="both"/>
        <w:rPr>
          <w:rFonts w:ascii="Palatino Linotype" w:hAnsi="Palatino Linotype"/>
          <w:i/>
          <w:sz w:val="17"/>
          <w:szCs w:val="17"/>
          <w:lang w:val="es-MX"/>
        </w:rPr>
      </w:pPr>
    </w:p>
    <w:p w:rsidR="001F3A51" w:rsidRDefault="001F3A51" w:rsidP="007D0610">
      <w:pPr>
        <w:jc w:val="both"/>
        <w:rPr>
          <w:rFonts w:ascii="Palatino Linotype" w:hAnsi="Palatino Linotype"/>
          <w:i/>
          <w:sz w:val="17"/>
          <w:szCs w:val="17"/>
          <w:lang w:val="es-MX"/>
        </w:rPr>
      </w:pPr>
    </w:p>
    <w:p w:rsidR="001F3A51" w:rsidRDefault="001F3A51" w:rsidP="007D0610">
      <w:pPr>
        <w:jc w:val="both"/>
        <w:rPr>
          <w:rFonts w:ascii="Palatino Linotype" w:hAnsi="Palatino Linotype"/>
          <w:i/>
          <w:sz w:val="17"/>
          <w:szCs w:val="17"/>
          <w:lang w:val="es-MX"/>
        </w:rPr>
      </w:pPr>
    </w:p>
    <w:p w:rsidR="007D0610" w:rsidRPr="00742DB1" w:rsidRDefault="007D0610" w:rsidP="007D0610">
      <w:pPr>
        <w:jc w:val="center"/>
        <w:rPr>
          <w:rFonts w:ascii="Palatino Linotype" w:hAnsi="Palatino Linotype"/>
          <w:b/>
          <w:i/>
          <w:u w:val="single"/>
          <w:lang w:val="es-MX"/>
        </w:rPr>
      </w:pPr>
      <w:r w:rsidRPr="00742DB1">
        <w:rPr>
          <w:rFonts w:ascii="Palatino Linotype" w:hAnsi="Palatino Linotype"/>
          <w:b/>
          <w:i/>
          <w:u w:val="single"/>
          <w:lang w:val="es-MX"/>
        </w:rPr>
        <w:t>Modelo</w:t>
      </w:r>
      <w:r>
        <w:rPr>
          <w:rFonts w:ascii="Palatino Linotype" w:hAnsi="Palatino Linotype"/>
          <w:b/>
          <w:i/>
          <w:u w:val="single"/>
          <w:lang w:val="es-MX"/>
        </w:rPr>
        <w:t xml:space="preserve"> II</w:t>
      </w:r>
      <w:r w:rsidRPr="00742DB1">
        <w:rPr>
          <w:rFonts w:ascii="Palatino Linotype" w:hAnsi="Palatino Linotype"/>
          <w:b/>
          <w:i/>
          <w:u w:val="single"/>
          <w:lang w:val="es-MX"/>
        </w:rPr>
        <w:t xml:space="preserve"> de Nota sobre Unidad de Medida</w:t>
      </w:r>
    </w:p>
    <w:p w:rsidR="007D0610" w:rsidRDefault="007D0610" w:rsidP="007D0610">
      <w:pPr>
        <w:jc w:val="both"/>
        <w:rPr>
          <w:lang w:val="es-MX"/>
        </w:rPr>
      </w:pPr>
    </w:p>
    <w:p w:rsidR="007D0610" w:rsidRPr="004C66A3" w:rsidRDefault="007D0610" w:rsidP="007D0610">
      <w:pPr>
        <w:jc w:val="both"/>
        <w:rPr>
          <w:rFonts w:ascii="Palatino Linotype" w:hAnsi="Palatino Linotype"/>
          <w:i/>
          <w:sz w:val="20"/>
          <w:szCs w:val="20"/>
        </w:rPr>
      </w:pPr>
      <w:r w:rsidRPr="00742DB1">
        <w:rPr>
          <w:rFonts w:ascii="Palatino Linotype" w:hAnsi="Palatino Linotype"/>
          <w:b/>
          <w:i/>
          <w:u w:val="single"/>
          <w:lang w:val="es-MX"/>
        </w:rPr>
        <w:t>Caso:</w:t>
      </w:r>
      <w:r>
        <w:rPr>
          <w:lang w:val="es-MX"/>
        </w:rPr>
        <w:t xml:space="preserve"> </w:t>
      </w:r>
      <w:r w:rsidRPr="00AF211D">
        <w:rPr>
          <w:rFonts w:ascii="Palatino Linotype" w:hAnsi="Palatino Linotype"/>
          <w:i/>
          <w:sz w:val="20"/>
          <w:szCs w:val="20"/>
        </w:rPr>
        <w:t>El ente n</w:t>
      </w:r>
      <w:r w:rsidRPr="00AF211D">
        <w:rPr>
          <w:rFonts w:ascii="Palatino Linotype" w:hAnsi="Palatino Linotype"/>
          <w:i/>
          <w:sz w:val="20"/>
          <w:szCs w:val="20"/>
          <w:lang w:val="es-MX"/>
        </w:rPr>
        <w:t>o</w:t>
      </w:r>
      <w:r>
        <w:rPr>
          <w:rFonts w:ascii="Palatino Linotype" w:hAnsi="Palatino Linotype"/>
          <w:i/>
          <w:sz w:val="20"/>
          <w:szCs w:val="20"/>
          <w:lang w:val="es-MX"/>
        </w:rPr>
        <w:t xml:space="preserve"> ha practicado la reexpresión de las cifras de los estados contables en períodos anteriores en virtud  de la fecha de constitución del ente y lo establecido por las normas contables profesionales.</w:t>
      </w:r>
    </w:p>
    <w:p w:rsidR="007D0610" w:rsidRDefault="007D0610" w:rsidP="007D0610">
      <w:pPr>
        <w:jc w:val="both"/>
        <w:rPr>
          <w:lang w:val="es-MX"/>
        </w:rPr>
      </w:pPr>
    </w:p>
    <w:p w:rsidR="007D0610" w:rsidRDefault="007D0610" w:rsidP="007D0610">
      <w:pPr>
        <w:jc w:val="both"/>
        <w:rPr>
          <w:rFonts w:ascii="Palatino Linotype" w:hAnsi="Palatino Linotype"/>
          <w:b/>
          <w:i/>
          <w:u w:val="single"/>
          <w:lang w:val="es-MX"/>
        </w:rPr>
      </w:pPr>
      <w:r w:rsidRPr="00476108">
        <w:rPr>
          <w:rFonts w:ascii="Palatino Linotype" w:hAnsi="Palatino Linotype"/>
          <w:b/>
          <w:i/>
          <w:u w:val="single"/>
          <w:lang w:val="es-MX"/>
        </w:rPr>
        <w:t>Unidad de Medida.</w:t>
      </w:r>
    </w:p>
    <w:p w:rsidR="007D0610" w:rsidRPr="00476108" w:rsidRDefault="007D0610" w:rsidP="007D0610">
      <w:pPr>
        <w:jc w:val="both"/>
        <w:rPr>
          <w:rFonts w:ascii="Palatino Linotype" w:hAnsi="Palatino Linotype"/>
          <w:b/>
          <w:i/>
          <w:u w:val="single"/>
          <w:lang w:val="es-MX"/>
        </w:rPr>
      </w:pPr>
    </w:p>
    <w:p w:rsidR="007D0610" w:rsidRPr="001B5EEA" w:rsidRDefault="007D0610" w:rsidP="007D0610">
      <w:pPr>
        <w:jc w:val="both"/>
        <w:rPr>
          <w:rFonts w:ascii="Palatino Linotype" w:hAnsi="Palatino Linotype"/>
          <w:i/>
          <w:sz w:val="20"/>
          <w:szCs w:val="20"/>
          <w:lang w:val="es-MX"/>
        </w:rPr>
      </w:pPr>
      <w:r w:rsidRPr="001B5EEA">
        <w:rPr>
          <w:rFonts w:ascii="Palatino Linotype" w:hAnsi="Palatino Linotype"/>
          <w:i/>
          <w:sz w:val="20"/>
          <w:szCs w:val="20"/>
          <w:lang w:val="es-MX"/>
        </w:rPr>
        <w:t xml:space="preserve">Los estados contables han sido preparados en moneda nominal, utilizando dicha moneda como moneda homogénea de conformidad a lo establecido en </w:t>
      </w:r>
      <w:smartTag w:uri="urn:schemas-microsoft-com:office:smarttags" w:element="PersonName">
        <w:smartTagPr>
          <w:attr w:name="ProductID" w:val="la Resoluci￳n T￩cnica N"/>
        </w:smartTagPr>
        <w:smartTag w:uri="urn:schemas-microsoft-com:office:smarttags" w:element="PersonName">
          <w:smartTagPr>
            <w:attr w:name="ProductID" w:val="La Resoluci￳n T￩cnica"/>
          </w:smartTagPr>
          <w:r w:rsidRPr="001B5EEA">
            <w:rPr>
              <w:rFonts w:ascii="Palatino Linotype" w:hAnsi="Palatino Linotype"/>
              <w:i/>
              <w:sz w:val="20"/>
              <w:szCs w:val="20"/>
              <w:lang w:val="es-MX"/>
            </w:rPr>
            <w:t>la Resolución Técnica</w:t>
          </w:r>
        </w:smartTag>
        <w:r w:rsidRPr="001B5EEA">
          <w:rPr>
            <w:rFonts w:ascii="Palatino Linotype" w:hAnsi="Palatino Linotype"/>
            <w:i/>
            <w:sz w:val="20"/>
            <w:szCs w:val="20"/>
            <w:lang w:val="es-MX"/>
          </w:rPr>
          <w:t xml:space="preserve"> N</w:t>
        </w:r>
      </w:smartTag>
      <w:r w:rsidRPr="001B5EEA">
        <w:rPr>
          <w:rFonts w:ascii="Palatino Linotype" w:hAnsi="Palatino Linotype"/>
          <w:i/>
          <w:sz w:val="20"/>
          <w:szCs w:val="20"/>
          <w:lang w:val="es-MX"/>
        </w:rPr>
        <w:t>° 17, Punto 3.1., en virtud de que la sociedad ha sido constituida el 20 de enero de 2004</w:t>
      </w:r>
      <w:r>
        <w:rPr>
          <w:rFonts w:ascii="Palatino Linotype" w:hAnsi="Palatino Linotype"/>
          <w:i/>
          <w:sz w:val="20"/>
          <w:szCs w:val="20"/>
          <w:lang w:val="es-MX"/>
        </w:rPr>
        <w:t xml:space="preserve"> </w:t>
      </w:r>
      <w:r w:rsidRPr="001B5EEA">
        <w:rPr>
          <w:rFonts w:ascii="Palatino Linotype" w:hAnsi="Palatino Linotype"/>
          <w:b/>
          <w:i/>
          <w:sz w:val="17"/>
          <w:szCs w:val="17"/>
          <w:lang w:val="es-MX"/>
        </w:rPr>
        <w:t>[1]</w:t>
      </w:r>
      <w:r w:rsidRPr="001B5EEA">
        <w:rPr>
          <w:rFonts w:ascii="Palatino Linotype" w:hAnsi="Palatino Linotype"/>
          <w:i/>
          <w:sz w:val="20"/>
          <w:szCs w:val="20"/>
          <w:lang w:val="es-MX"/>
        </w:rPr>
        <w:t xml:space="preserve">, aplicándose desde esa fecha </w:t>
      </w:r>
      <w:smartTag w:uri="urn:schemas-microsoft-com:office:smarttags" w:element="PersonName">
        <w:smartTagPr>
          <w:attr w:name="ProductID" w:val="la Resoluci￳n  CD"/>
        </w:smartTagPr>
        <w:r w:rsidRPr="001B5EEA">
          <w:rPr>
            <w:rFonts w:ascii="Palatino Linotype" w:hAnsi="Palatino Linotype"/>
            <w:i/>
            <w:sz w:val="20"/>
            <w:szCs w:val="20"/>
            <w:lang w:val="es-MX"/>
          </w:rPr>
          <w:t>la Resolución  CD</w:t>
        </w:r>
      </w:smartTag>
      <w:r w:rsidRPr="001B5EEA">
        <w:rPr>
          <w:rFonts w:ascii="Palatino Linotype" w:hAnsi="Palatino Linotype"/>
          <w:i/>
          <w:sz w:val="20"/>
          <w:szCs w:val="20"/>
          <w:lang w:val="es-MX"/>
        </w:rPr>
        <w:t xml:space="preserve"> 3150 del Consejo Profesional de Ciencias Económicas de la Provincia de Buenos Aires que ratificó lo dispuesto por </w:t>
      </w:r>
      <w:smartTag w:uri="urn:schemas-microsoft-com:office:smarttags" w:element="PersonName">
        <w:smartTagPr>
          <w:attr w:name="ProductID" w:val="la Resoluci￳n N"/>
        </w:smartTagPr>
        <w:r w:rsidRPr="001B5EEA">
          <w:rPr>
            <w:rFonts w:ascii="Palatino Linotype" w:hAnsi="Palatino Linotype"/>
            <w:i/>
            <w:sz w:val="20"/>
            <w:szCs w:val="20"/>
            <w:lang w:val="es-MX"/>
          </w:rPr>
          <w:t>la Resolución N</w:t>
        </w:r>
      </w:smartTag>
      <w:r w:rsidRPr="001B5EEA">
        <w:rPr>
          <w:rFonts w:ascii="Palatino Linotype" w:hAnsi="Palatino Linotype"/>
          <w:i/>
          <w:sz w:val="20"/>
          <w:szCs w:val="20"/>
          <w:lang w:val="es-MX"/>
        </w:rPr>
        <w:t xml:space="preserve">° 287/03 de </w:t>
      </w:r>
      <w:smartTag w:uri="urn:schemas-microsoft-com:office:smarttags" w:element="PersonName">
        <w:smartTagPr>
          <w:attr w:name="ProductID" w:val="la Federaci￳n Argentina"/>
        </w:smartTagPr>
        <w:r w:rsidRPr="001B5EEA">
          <w:rPr>
            <w:rFonts w:ascii="Palatino Linotype" w:hAnsi="Palatino Linotype"/>
            <w:i/>
            <w:sz w:val="20"/>
            <w:szCs w:val="20"/>
            <w:lang w:val="es-MX"/>
          </w:rPr>
          <w:t>la Federación Argentina</w:t>
        </w:r>
      </w:smartTag>
      <w:r w:rsidRPr="001B5EEA">
        <w:rPr>
          <w:rFonts w:ascii="Palatino Linotype" w:hAnsi="Palatino Linotype"/>
          <w:i/>
          <w:sz w:val="20"/>
          <w:szCs w:val="20"/>
          <w:lang w:val="es-MX"/>
        </w:rPr>
        <w:t xml:space="preserve">  de Consejos Profesionales de Ciencias Económicas, y a partir del 20 de diciembre de 2013 </w:t>
      </w:r>
      <w:smartTag w:uri="urn:schemas-microsoft-com:office:smarttags" w:element="PersonName">
        <w:smartTagPr>
          <w:attr w:name="ProductID" w:val="la Resoluci￳n T￩cnica N"/>
        </w:smartTagPr>
        <w:smartTag w:uri="urn:schemas-microsoft-com:office:smarttags" w:element="PersonName">
          <w:smartTagPr>
            <w:attr w:name="ProductID" w:val="La Resoluci￳n T￩cnica"/>
          </w:smartTagPr>
          <w:r w:rsidRPr="001B5EEA">
            <w:rPr>
              <w:rFonts w:ascii="Palatino Linotype" w:hAnsi="Palatino Linotype"/>
              <w:i/>
              <w:sz w:val="20"/>
              <w:szCs w:val="20"/>
              <w:lang w:val="es-MX"/>
            </w:rPr>
            <w:t>la Resolución Técnica</w:t>
          </w:r>
        </w:smartTag>
        <w:r w:rsidRPr="001B5EEA">
          <w:rPr>
            <w:rFonts w:ascii="Palatino Linotype" w:hAnsi="Palatino Linotype"/>
            <w:i/>
            <w:sz w:val="20"/>
            <w:szCs w:val="20"/>
            <w:lang w:val="es-MX"/>
          </w:rPr>
          <w:t xml:space="preserve"> N</w:t>
        </w:r>
      </w:smartTag>
      <w:r w:rsidRPr="001B5EEA">
        <w:rPr>
          <w:rFonts w:ascii="Palatino Linotype" w:hAnsi="Palatino Linotype"/>
          <w:i/>
          <w:sz w:val="20"/>
          <w:szCs w:val="20"/>
          <w:lang w:val="es-MX"/>
        </w:rPr>
        <w:t>° 39 y su normativa complementaria.</w:t>
      </w:r>
    </w:p>
    <w:p w:rsidR="007D0610" w:rsidRPr="001B5EEA" w:rsidRDefault="007D0610" w:rsidP="007D0610">
      <w:pPr>
        <w:jc w:val="both"/>
        <w:rPr>
          <w:rFonts w:ascii="Palatino Linotype" w:hAnsi="Palatino Linotype"/>
          <w:i/>
          <w:sz w:val="20"/>
          <w:szCs w:val="20"/>
          <w:lang w:val="es-MX"/>
        </w:rPr>
      </w:pPr>
    </w:p>
    <w:p w:rsidR="007D0610" w:rsidRPr="001B5EEA" w:rsidRDefault="007D0610" w:rsidP="007D0610">
      <w:pPr>
        <w:jc w:val="both"/>
        <w:rPr>
          <w:rFonts w:ascii="Palatino Linotype" w:hAnsi="Palatino Linotype"/>
          <w:i/>
          <w:sz w:val="20"/>
          <w:szCs w:val="20"/>
          <w:lang w:val="es-MX"/>
        </w:rPr>
      </w:pPr>
      <w:smartTag w:uri="urn:schemas-microsoft-com:office:smarttags" w:element="PersonName">
        <w:smartTagPr>
          <w:attr w:name="ProductID" w:val="la Federaci￳n Argentina"/>
        </w:smartTagPr>
        <w:r w:rsidRPr="001B5EEA">
          <w:rPr>
            <w:rFonts w:ascii="Palatino Linotype" w:hAnsi="Palatino Linotype"/>
            <w:i/>
            <w:sz w:val="20"/>
            <w:szCs w:val="20"/>
            <w:lang w:val="es-MX"/>
          </w:rPr>
          <w:t>La Federación Argentina</w:t>
        </w:r>
      </w:smartTag>
      <w:r w:rsidRPr="001B5EEA">
        <w:rPr>
          <w:rFonts w:ascii="Palatino Linotype" w:hAnsi="Palatino Linotype"/>
          <w:i/>
          <w:sz w:val="20"/>
          <w:szCs w:val="20"/>
          <w:lang w:val="es-MX"/>
        </w:rPr>
        <w:t xml:space="preserve">  de Consejos Profesionales de Ciencias Económicas a través de su Resolución N° 287/03, estableció la discontinuación de la reexpresión para reflejar las variaciones en el poder adquisitivo de </w:t>
      </w:r>
      <w:r>
        <w:rPr>
          <w:rFonts w:ascii="Palatino Linotype" w:hAnsi="Palatino Linotype"/>
          <w:i/>
          <w:sz w:val="20"/>
          <w:szCs w:val="20"/>
          <w:lang w:val="es-MX"/>
        </w:rPr>
        <w:t xml:space="preserve">la </w:t>
      </w:r>
      <w:r w:rsidRPr="001B5EEA">
        <w:rPr>
          <w:rFonts w:ascii="Palatino Linotype" w:hAnsi="Palatino Linotype"/>
          <w:i/>
          <w:sz w:val="20"/>
          <w:szCs w:val="20"/>
          <w:lang w:val="es-MX"/>
        </w:rPr>
        <w:t xml:space="preserve">moneda a partir del 1° de octubre de 2003, criterio ratificado por </w:t>
      </w:r>
      <w:smartTag w:uri="urn:schemas-microsoft-com:office:smarttags" w:element="PersonName">
        <w:smartTagPr>
          <w:attr w:name="ProductID" w:val="㎐"/>
        </w:smartTagPr>
        <w:smartTag w:uri="urn:schemas-microsoft-com:office:smarttags" w:element="PersonName">
          <w:smartTagPr>
            <w:attr w:name="ProductID" w:val="la Resoluci￳n CD"/>
          </w:smartTagPr>
          <w:r w:rsidRPr="001B5EEA">
            <w:rPr>
              <w:rFonts w:ascii="Palatino Linotype" w:hAnsi="Palatino Linotype"/>
              <w:i/>
              <w:sz w:val="20"/>
              <w:szCs w:val="20"/>
              <w:lang w:val="es-MX"/>
            </w:rPr>
            <w:t>la Resolución CD</w:t>
          </w:r>
        </w:smartTag>
        <w:r w:rsidRPr="001B5EEA">
          <w:rPr>
            <w:rFonts w:ascii="Palatino Linotype" w:hAnsi="Palatino Linotype"/>
            <w:i/>
            <w:sz w:val="20"/>
            <w:szCs w:val="20"/>
            <w:lang w:val="es-MX"/>
          </w:rPr>
          <w:t xml:space="preserve"> N</w:t>
        </w:r>
      </w:smartTag>
      <w:r w:rsidRPr="001B5EEA">
        <w:rPr>
          <w:rFonts w:ascii="Palatino Linotype" w:hAnsi="Palatino Linotype"/>
          <w:i/>
          <w:sz w:val="20"/>
          <w:szCs w:val="20"/>
          <w:lang w:val="es-MX"/>
        </w:rPr>
        <w:t xml:space="preserve">° 3150 del Consejo Profesional de Ciencias Económicas de la Provincia de Buenos Aires. </w:t>
      </w:r>
    </w:p>
    <w:p w:rsidR="007D0610" w:rsidRPr="001B5EEA" w:rsidRDefault="007D0610" w:rsidP="007D0610">
      <w:pPr>
        <w:jc w:val="both"/>
        <w:rPr>
          <w:rFonts w:ascii="Palatino Linotype" w:hAnsi="Palatino Linotype"/>
          <w:i/>
          <w:sz w:val="20"/>
          <w:szCs w:val="20"/>
          <w:lang w:val="es-MX"/>
        </w:rPr>
      </w:pPr>
    </w:p>
    <w:p w:rsidR="007D0610" w:rsidRPr="001B5EEA" w:rsidRDefault="007D0610" w:rsidP="007D0610">
      <w:pPr>
        <w:jc w:val="both"/>
        <w:rPr>
          <w:rFonts w:ascii="Palatino Linotype" w:hAnsi="Palatino Linotype"/>
          <w:i/>
          <w:sz w:val="20"/>
          <w:szCs w:val="20"/>
          <w:lang w:val="es-MX"/>
        </w:rPr>
      </w:pPr>
      <w:r w:rsidRPr="001B5EEA">
        <w:rPr>
          <w:rFonts w:ascii="Palatino Linotype" w:hAnsi="Palatino Linotype"/>
          <w:i/>
          <w:sz w:val="20"/>
          <w:szCs w:val="20"/>
          <w:lang w:val="es-MX"/>
        </w:rPr>
        <w:t xml:space="preserve">A partir de </w:t>
      </w:r>
      <w:smartTag w:uri="urn:schemas-microsoft-com:office:smarttags" w:element="PersonName">
        <w:smartTagPr>
          <w:attr w:name="ProductID" w:val="la Resoluci￳n T￩cnica N"/>
        </w:smartTagPr>
        <w:r w:rsidRPr="001B5EEA">
          <w:rPr>
            <w:rFonts w:ascii="Palatino Linotype" w:hAnsi="Palatino Linotype"/>
            <w:i/>
            <w:sz w:val="20"/>
            <w:szCs w:val="20"/>
            <w:lang w:val="es-MX"/>
          </w:rPr>
          <w:t>la Resolución Técnica N</w:t>
        </w:r>
      </w:smartTag>
      <w:r w:rsidRPr="001B5EEA">
        <w:rPr>
          <w:rFonts w:ascii="Palatino Linotype" w:hAnsi="Palatino Linotype"/>
          <w:i/>
          <w:sz w:val="20"/>
          <w:szCs w:val="20"/>
          <w:lang w:val="es-MX"/>
        </w:rPr>
        <w:t>° 39, aprobada por Resolución CD N° 3519 del Consejo Profesional de Ciencias Económicas de la Provincia de Buenos Aires con fecha 20 de diciembre de 2013, y  de su normativa técnica complementaria,  la necesidad de reexpresar los estados contables para reflejar los cambios en el poder adquisitivo de la moneda viene indicada por la existencia o no de un contexto de inflación tal que lleve a calificar a la economía de altamente inflacionaria.</w:t>
      </w:r>
    </w:p>
    <w:p w:rsidR="007D0610" w:rsidRPr="001B5EEA" w:rsidRDefault="007D0610" w:rsidP="007D0610">
      <w:pPr>
        <w:jc w:val="both"/>
        <w:rPr>
          <w:rFonts w:ascii="Palatino Linotype" w:hAnsi="Palatino Linotype"/>
          <w:i/>
          <w:sz w:val="20"/>
          <w:szCs w:val="20"/>
          <w:lang w:val="es-MX"/>
        </w:rPr>
      </w:pPr>
    </w:p>
    <w:p w:rsidR="007D0610" w:rsidRPr="001B5EEA" w:rsidRDefault="007D0610" w:rsidP="007D0610">
      <w:pPr>
        <w:jc w:val="both"/>
        <w:rPr>
          <w:rFonts w:ascii="Palatino Linotype" w:hAnsi="Palatino Linotype"/>
          <w:i/>
          <w:sz w:val="20"/>
          <w:szCs w:val="20"/>
          <w:lang w:val="es-MX"/>
        </w:rPr>
      </w:pPr>
      <w:r w:rsidRPr="001B5EEA">
        <w:rPr>
          <w:rFonts w:ascii="Palatino Linotype" w:hAnsi="Palatino Linotype"/>
          <w:i/>
          <w:sz w:val="20"/>
          <w:szCs w:val="20"/>
          <w:lang w:val="es-MX"/>
        </w:rPr>
        <w:t xml:space="preserve">A los fines de identificar la existencia de una economía altamente inflacionaria, la RT N° 39 y su normativa técnica complementaria, </w:t>
      </w:r>
      <w:r w:rsidR="001F3A51">
        <w:rPr>
          <w:rFonts w:ascii="Palatino Linotype" w:hAnsi="Palatino Linotype"/>
          <w:i/>
          <w:sz w:val="20"/>
          <w:szCs w:val="20"/>
          <w:lang w:val="es-MX"/>
        </w:rPr>
        <w:t xml:space="preserve">actualmente la Interpretación N° 8 de Normas Profesionales, </w:t>
      </w:r>
      <w:r w:rsidRPr="001B5EEA">
        <w:rPr>
          <w:rFonts w:ascii="Palatino Linotype" w:hAnsi="Palatino Linotype"/>
          <w:i/>
          <w:sz w:val="20"/>
          <w:szCs w:val="20"/>
          <w:lang w:val="es-MX"/>
        </w:rPr>
        <w:t>brindan una pauta cuantitativa que es condición necesaria para proceder a reexpresar las cifras de los estados contables, dicha pauta consiste en que la tasa acumulada de inflación en tres años, considerando el Índice de Precios Internos al por Mayor elaborado por el Instituto Nacional de Estadísticas y Censos (INDEC), alcance o sobrepase el 100%. También la norma proporciona una serie de pautas cualitativas que serían de utilidad para determinar si corresponde efectuar la referida reexpresión en un escenario en que existiera ausencia prolongada de un índice oficial de precios.</w:t>
      </w:r>
    </w:p>
    <w:p w:rsidR="007D0610" w:rsidRPr="001B5EEA" w:rsidRDefault="007D0610" w:rsidP="007D0610">
      <w:pPr>
        <w:jc w:val="both"/>
        <w:rPr>
          <w:rFonts w:ascii="Palatino Linotype" w:hAnsi="Palatino Linotype"/>
          <w:i/>
          <w:sz w:val="20"/>
          <w:szCs w:val="20"/>
          <w:lang w:val="es-MX"/>
        </w:rPr>
      </w:pPr>
    </w:p>
    <w:p w:rsidR="00393FD8" w:rsidRPr="00C60304" w:rsidRDefault="00393FD8" w:rsidP="00393FD8">
      <w:pPr>
        <w:jc w:val="both"/>
        <w:rPr>
          <w:rFonts w:ascii="Palatino Linotype" w:hAnsi="Palatino Linotype"/>
          <w:i/>
          <w:sz w:val="20"/>
          <w:szCs w:val="20"/>
        </w:rPr>
      </w:pPr>
      <w:r w:rsidRPr="00C60304">
        <w:rPr>
          <w:rFonts w:ascii="Palatino Linotype" w:hAnsi="Palatino Linotype"/>
          <w:i/>
          <w:sz w:val="20"/>
          <w:szCs w:val="20"/>
        </w:rPr>
        <w:t xml:space="preserve">Con fecha 07 de enero de 2016 el Poder Ejecutivo Nacional declaró en estado de emergencia administrativa al Sistema Estadístico Nacional y a su órgano rector, el INDEC y, en el marco de la emergencia, el INDEC discontinuó la emisión del Índice de Precios Internos al por Mayor (IPIM) durante los meses de noviembre y diciembre del año 2015. La publicación del IPIM </w:t>
      </w:r>
      <w:r w:rsidR="001F3A51">
        <w:rPr>
          <w:rFonts w:ascii="Palatino Linotype" w:hAnsi="Palatino Linotype"/>
          <w:i/>
          <w:sz w:val="20"/>
          <w:szCs w:val="20"/>
        </w:rPr>
        <w:t xml:space="preserve">(expresado en </w:t>
      </w:r>
      <w:r w:rsidR="001F3A51">
        <w:rPr>
          <w:rFonts w:ascii="Palatino Linotype" w:hAnsi="Palatino Linotype"/>
          <w:i/>
          <w:sz w:val="20"/>
          <w:szCs w:val="20"/>
        </w:rPr>
        <w:lastRenderedPageBreak/>
        <w:t xml:space="preserve">términos de variación mensual) </w:t>
      </w:r>
      <w:r w:rsidRPr="00C60304">
        <w:rPr>
          <w:rFonts w:ascii="Palatino Linotype" w:hAnsi="Palatino Linotype"/>
          <w:i/>
          <w:sz w:val="20"/>
          <w:szCs w:val="20"/>
        </w:rPr>
        <w:t>ha sido retomada por el mencionado Instituto desde el mes de enero de 2016.</w:t>
      </w:r>
    </w:p>
    <w:p w:rsidR="00393FD8" w:rsidRDefault="00393FD8" w:rsidP="00393FD8">
      <w:pPr>
        <w:jc w:val="both"/>
        <w:rPr>
          <w:rFonts w:ascii="Palatino Linotype" w:hAnsi="Palatino Linotype"/>
          <w:i/>
          <w:sz w:val="20"/>
          <w:szCs w:val="20"/>
        </w:rPr>
      </w:pPr>
    </w:p>
    <w:p w:rsidR="00393FD8" w:rsidRPr="00C60304" w:rsidRDefault="00393FD8" w:rsidP="00393FD8">
      <w:pPr>
        <w:jc w:val="both"/>
        <w:rPr>
          <w:rFonts w:ascii="Palatino Linotype" w:hAnsi="Palatino Linotype"/>
          <w:i/>
          <w:sz w:val="20"/>
          <w:szCs w:val="20"/>
        </w:rPr>
      </w:pPr>
      <w:r w:rsidRPr="00C60304">
        <w:rPr>
          <w:rFonts w:ascii="Palatino Linotype" w:hAnsi="Palatino Linotype"/>
          <w:i/>
          <w:sz w:val="20"/>
          <w:szCs w:val="20"/>
        </w:rPr>
        <w:t xml:space="preserve">Ante  lo establecido por </w:t>
      </w:r>
      <w:r>
        <w:rPr>
          <w:rFonts w:ascii="Palatino Linotype" w:hAnsi="Palatino Linotype"/>
          <w:i/>
          <w:sz w:val="20"/>
          <w:szCs w:val="20"/>
        </w:rPr>
        <w:t>la mencionada normativa profesional</w:t>
      </w:r>
      <w:r w:rsidRPr="00C60304">
        <w:rPr>
          <w:rFonts w:ascii="Palatino Linotype" w:hAnsi="Palatino Linotype"/>
          <w:i/>
          <w:sz w:val="20"/>
          <w:szCs w:val="20"/>
        </w:rPr>
        <w:t xml:space="preserve"> y la falta de la información emitida por el INDEC sobre la evolución del IPIM correspondiente a los dos últimos meses del año 2015, al efecto de evaluar si se ha alcanzado o sobrepasado la pauta cuantitativa señalada se han considerado dichos meses como “sin datos”.  Con la aplicación del criterio indicado, la evolución del IPIM durante el trienio cerrado al 30 de junio de 2016 que es objetivamente determinable con la información de precios internos al por mayor proporcionada por el INDEC no alcanza el 100%.   </w:t>
      </w:r>
    </w:p>
    <w:p w:rsidR="007D0610" w:rsidRPr="00393FD8" w:rsidRDefault="007D0610" w:rsidP="007D0610">
      <w:pPr>
        <w:jc w:val="both"/>
        <w:rPr>
          <w:rFonts w:ascii="Palatino Linotype" w:hAnsi="Palatino Linotype"/>
          <w:i/>
          <w:sz w:val="20"/>
          <w:szCs w:val="20"/>
        </w:rPr>
      </w:pPr>
    </w:p>
    <w:p w:rsidR="007D0610" w:rsidRPr="001B5EEA" w:rsidRDefault="007D0610" w:rsidP="007D0610">
      <w:pPr>
        <w:jc w:val="both"/>
        <w:rPr>
          <w:rFonts w:ascii="Palatino Linotype" w:hAnsi="Palatino Linotype"/>
          <w:i/>
          <w:sz w:val="17"/>
          <w:szCs w:val="17"/>
          <w:lang w:val="es-MX"/>
        </w:rPr>
      </w:pPr>
      <w:r w:rsidRPr="001B5EEA">
        <w:rPr>
          <w:rFonts w:ascii="Palatino Linotype" w:hAnsi="Palatino Linotype"/>
          <w:b/>
          <w:i/>
          <w:sz w:val="17"/>
          <w:szCs w:val="17"/>
          <w:lang w:val="es-MX"/>
        </w:rPr>
        <w:t>[1]</w:t>
      </w:r>
      <w:r w:rsidRPr="001B5EEA">
        <w:rPr>
          <w:rFonts w:ascii="Palatino Linotype" w:hAnsi="Palatino Linotype"/>
          <w:i/>
          <w:sz w:val="17"/>
          <w:szCs w:val="17"/>
          <w:lang w:val="es-MX"/>
        </w:rPr>
        <w:t xml:space="preserve"> Fecha ejemplificativa al efecto de identificar que se trata de un ente que se constituyó con posterioridad a la fecha en que, conforme las Normas Contables Profesionales, correspondió discontinuar la reexpresión de las cifras de los estados contables para reflejar la pérdida de poder adquisitivo de la moneda.</w:t>
      </w:r>
    </w:p>
    <w:p w:rsidR="007D0610" w:rsidRDefault="007D0610" w:rsidP="007D0610">
      <w:pPr>
        <w:jc w:val="both"/>
        <w:rPr>
          <w:sz w:val="17"/>
          <w:szCs w:val="17"/>
          <w:lang w:val="es-MX"/>
        </w:rPr>
      </w:pPr>
    </w:p>
    <w:p w:rsidR="007D0610" w:rsidRDefault="007D0610" w:rsidP="007D0610">
      <w:pPr>
        <w:jc w:val="both"/>
        <w:rPr>
          <w:sz w:val="17"/>
          <w:szCs w:val="17"/>
          <w:lang w:val="es-MX"/>
        </w:rPr>
      </w:pPr>
    </w:p>
    <w:p w:rsidR="007D0610" w:rsidRPr="00742DB1" w:rsidRDefault="007D0610" w:rsidP="007D0610">
      <w:pPr>
        <w:jc w:val="center"/>
        <w:rPr>
          <w:rFonts w:ascii="Palatino Linotype" w:hAnsi="Palatino Linotype"/>
          <w:b/>
          <w:i/>
          <w:u w:val="single"/>
          <w:lang w:val="es-MX"/>
        </w:rPr>
      </w:pPr>
      <w:r w:rsidRPr="00742DB1">
        <w:rPr>
          <w:rFonts w:ascii="Palatino Linotype" w:hAnsi="Palatino Linotype"/>
          <w:b/>
          <w:i/>
          <w:u w:val="single"/>
          <w:lang w:val="es-MX"/>
        </w:rPr>
        <w:t>Modelo</w:t>
      </w:r>
      <w:r>
        <w:rPr>
          <w:rFonts w:ascii="Palatino Linotype" w:hAnsi="Palatino Linotype"/>
          <w:b/>
          <w:i/>
          <w:u w:val="single"/>
          <w:lang w:val="es-MX"/>
        </w:rPr>
        <w:t xml:space="preserve"> III</w:t>
      </w:r>
      <w:r w:rsidRPr="00742DB1">
        <w:rPr>
          <w:rFonts w:ascii="Palatino Linotype" w:hAnsi="Palatino Linotype"/>
          <w:b/>
          <w:i/>
          <w:u w:val="single"/>
          <w:lang w:val="es-MX"/>
        </w:rPr>
        <w:t xml:space="preserve"> de Nota sobre Unidad de Medida</w:t>
      </w:r>
    </w:p>
    <w:p w:rsidR="007D0610" w:rsidRDefault="007D0610" w:rsidP="007D0610">
      <w:pPr>
        <w:jc w:val="both"/>
        <w:rPr>
          <w:lang w:val="es-MX"/>
        </w:rPr>
      </w:pPr>
    </w:p>
    <w:p w:rsidR="007D0610" w:rsidRPr="004C66A3" w:rsidRDefault="007D0610" w:rsidP="007D0610">
      <w:pPr>
        <w:jc w:val="both"/>
        <w:rPr>
          <w:rFonts w:ascii="Palatino Linotype" w:hAnsi="Palatino Linotype"/>
          <w:i/>
          <w:sz w:val="20"/>
          <w:szCs w:val="20"/>
        </w:rPr>
      </w:pPr>
      <w:r w:rsidRPr="00742DB1">
        <w:rPr>
          <w:rFonts w:ascii="Palatino Linotype" w:hAnsi="Palatino Linotype"/>
          <w:b/>
          <w:i/>
          <w:u w:val="single"/>
          <w:lang w:val="es-MX"/>
        </w:rPr>
        <w:t>Caso:</w:t>
      </w:r>
      <w:r>
        <w:rPr>
          <w:lang w:val="es-MX"/>
        </w:rPr>
        <w:t xml:space="preserve"> </w:t>
      </w:r>
      <w:r w:rsidRPr="00AF211D">
        <w:rPr>
          <w:rFonts w:ascii="Palatino Linotype" w:hAnsi="Palatino Linotype"/>
          <w:i/>
          <w:sz w:val="20"/>
          <w:szCs w:val="20"/>
        </w:rPr>
        <w:t>El ente n</w:t>
      </w:r>
      <w:r w:rsidRPr="00AF211D">
        <w:rPr>
          <w:rFonts w:ascii="Palatino Linotype" w:hAnsi="Palatino Linotype"/>
          <w:i/>
          <w:sz w:val="20"/>
          <w:szCs w:val="20"/>
          <w:lang w:val="es-MX"/>
        </w:rPr>
        <w:t>o</w:t>
      </w:r>
      <w:r>
        <w:rPr>
          <w:rFonts w:ascii="Palatino Linotype" w:hAnsi="Palatino Linotype"/>
          <w:i/>
          <w:sz w:val="20"/>
          <w:szCs w:val="20"/>
          <w:lang w:val="es-MX"/>
        </w:rPr>
        <w:t xml:space="preserve"> ha practicado la reexpresión de las cifras de los estados contables en períodos anteriores en virtud  de que la fecha de constitución del ente es posterior a la vigencia de la Resolución Técnica N° 39 y lo establecido por las normas contables profesionales.</w:t>
      </w:r>
    </w:p>
    <w:p w:rsidR="007D0610" w:rsidRDefault="007D0610" w:rsidP="007D0610">
      <w:pPr>
        <w:jc w:val="both"/>
        <w:rPr>
          <w:lang w:val="es-MX"/>
        </w:rPr>
      </w:pPr>
    </w:p>
    <w:p w:rsidR="007D0610" w:rsidRDefault="007D0610" w:rsidP="007D0610">
      <w:pPr>
        <w:jc w:val="both"/>
        <w:rPr>
          <w:rFonts w:ascii="Palatino Linotype" w:hAnsi="Palatino Linotype"/>
          <w:b/>
          <w:i/>
          <w:u w:val="single"/>
          <w:lang w:val="es-MX"/>
        </w:rPr>
      </w:pPr>
      <w:r w:rsidRPr="00476108">
        <w:rPr>
          <w:rFonts w:ascii="Palatino Linotype" w:hAnsi="Palatino Linotype"/>
          <w:b/>
          <w:i/>
          <w:u w:val="single"/>
          <w:lang w:val="es-MX"/>
        </w:rPr>
        <w:t>Unidad de Medida.</w:t>
      </w:r>
    </w:p>
    <w:p w:rsidR="007D0610" w:rsidRPr="00476108" w:rsidRDefault="007D0610" w:rsidP="007D0610">
      <w:pPr>
        <w:jc w:val="both"/>
        <w:rPr>
          <w:rFonts w:ascii="Palatino Linotype" w:hAnsi="Palatino Linotype"/>
          <w:b/>
          <w:i/>
          <w:u w:val="single"/>
          <w:lang w:val="es-MX"/>
        </w:rPr>
      </w:pPr>
    </w:p>
    <w:p w:rsidR="007D0610" w:rsidRPr="001B5EEA" w:rsidRDefault="007D0610" w:rsidP="007D0610">
      <w:pPr>
        <w:jc w:val="both"/>
        <w:rPr>
          <w:rFonts w:ascii="Palatino Linotype" w:hAnsi="Palatino Linotype"/>
          <w:i/>
          <w:sz w:val="20"/>
          <w:szCs w:val="20"/>
          <w:lang w:val="es-MX"/>
        </w:rPr>
      </w:pPr>
      <w:r w:rsidRPr="001B5EEA">
        <w:rPr>
          <w:rFonts w:ascii="Palatino Linotype" w:hAnsi="Palatino Linotype"/>
          <w:i/>
          <w:sz w:val="20"/>
          <w:szCs w:val="20"/>
          <w:lang w:val="es-MX"/>
        </w:rPr>
        <w:t xml:space="preserve">Los estados contables han sido preparados en moneda nominal, utilizando dicha moneda como moneda homogénea de conformidad a lo establecido en </w:t>
      </w:r>
      <w:smartTag w:uri="urn:schemas-microsoft-com:office:smarttags" w:element="PersonName">
        <w:smartTagPr>
          <w:attr w:name="ProductID" w:val="la Resoluci￳n T￩cnica N"/>
        </w:smartTagPr>
        <w:smartTag w:uri="urn:schemas-microsoft-com:office:smarttags" w:element="PersonName">
          <w:smartTagPr>
            <w:attr w:name="ProductID" w:val="La Resoluci￳n T￩cnica"/>
          </w:smartTagPr>
          <w:r w:rsidRPr="001B5EEA">
            <w:rPr>
              <w:rFonts w:ascii="Palatino Linotype" w:hAnsi="Palatino Linotype"/>
              <w:i/>
              <w:sz w:val="20"/>
              <w:szCs w:val="20"/>
              <w:lang w:val="es-MX"/>
            </w:rPr>
            <w:t>la Resolución Técnica</w:t>
          </w:r>
        </w:smartTag>
        <w:r w:rsidRPr="001B5EEA">
          <w:rPr>
            <w:rFonts w:ascii="Palatino Linotype" w:hAnsi="Palatino Linotype"/>
            <w:i/>
            <w:sz w:val="20"/>
            <w:szCs w:val="20"/>
            <w:lang w:val="es-MX"/>
          </w:rPr>
          <w:t xml:space="preserve"> N</w:t>
        </w:r>
      </w:smartTag>
      <w:r w:rsidRPr="001B5EEA">
        <w:rPr>
          <w:rFonts w:ascii="Palatino Linotype" w:hAnsi="Palatino Linotype"/>
          <w:i/>
          <w:sz w:val="20"/>
          <w:szCs w:val="20"/>
          <w:lang w:val="es-MX"/>
        </w:rPr>
        <w:t xml:space="preserve">° </w:t>
      </w:r>
      <w:r>
        <w:rPr>
          <w:rFonts w:ascii="Palatino Linotype" w:hAnsi="Palatino Linotype"/>
          <w:i/>
          <w:sz w:val="20"/>
          <w:szCs w:val="20"/>
          <w:lang w:val="es-MX"/>
        </w:rPr>
        <w:t>39</w:t>
      </w:r>
      <w:r w:rsidRPr="001B5EEA">
        <w:rPr>
          <w:rFonts w:ascii="Palatino Linotype" w:hAnsi="Palatino Linotype"/>
          <w:i/>
          <w:sz w:val="20"/>
          <w:szCs w:val="20"/>
          <w:lang w:val="es-MX"/>
        </w:rPr>
        <w:t xml:space="preserve"> y su normativa complementaria.</w:t>
      </w:r>
    </w:p>
    <w:p w:rsidR="007D0610" w:rsidRPr="001B5EEA" w:rsidRDefault="007D0610" w:rsidP="007D0610">
      <w:pPr>
        <w:jc w:val="both"/>
        <w:rPr>
          <w:rFonts w:ascii="Palatino Linotype" w:hAnsi="Palatino Linotype"/>
          <w:i/>
          <w:sz w:val="20"/>
          <w:szCs w:val="20"/>
          <w:lang w:val="es-MX"/>
        </w:rPr>
      </w:pPr>
    </w:p>
    <w:p w:rsidR="007D0610" w:rsidRPr="001B5EEA" w:rsidRDefault="007D0610" w:rsidP="007D0610">
      <w:pPr>
        <w:jc w:val="both"/>
        <w:rPr>
          <w:rFonts w:ascii="Palatino Linotype" w:hAnsi="Palatino Linotype"/>
          <w:i/>
          <w:sz w:val="20"/>
          <w:szCs w:val="20"/>
          <w:lang w:val="es-MX"/>
        </w:rPr>
      </w:pPr>
      <w:r w:rsidRPr="001B5EEA">
        <w:rPr>
          <w:rFonts w:ascii="Palatino Linotype" w:hAnsi="Palatino Linotype"/>
          <w:i/>
          <w:sz w:val="20"/>
          <w:szCs w:val="20"/>
          <w:lang w:val="es-MX"/>
        </w:rPr>
        <w:t xml:space="preserve">La Resolución Técnica N° 39, aprobada por Resolución CD N° 3519 del Consejo Profesional de Ciencias Económicas de la Provincia de Buenos Aires con fecha 20 de diciembre de 2013, y su normativa técnica complementaria, </w:t>
      </w:r>
      <w:r>
        <w:rPr>
          <w:rFonts w:ascii="Palatino Linotype" w:hAnsi="Palatino Linotype"/>
          <w:i/>
          <w:sz w:val="20"/>
          <w:szCs w:val="20"/>
          <w:lang w:val="es-MX"/>
        </w:rPr>
        <w:t xml:space="preserve">establece que </w:t>
      </w:r>
      <w:r w:rsidRPr="001B5EEA">
        <w:rPr>
          <w:rFonts w:ascii="Palatino Linotype" w:hAnsi="Palatino Linotype"/>
          <w:i/>
          <w:sz w:val="20"/>
          <w:szCs w:val="20"/>
          <w:lang w:val="es-MX"/>
        </w:rPr>
        <w:t>la necesidad de reexpresar los estados contables para reflejar los cambios en el poder adquisitivo de la moneda viene indicada por la existencia o no de un contexto de inflación tal que lleve a calificar a la economía de altamente inflacionaria.</w:t>
      </w:r>
    </w:p>
    <w:p w:rsidR="007D0610" w:rsidRPr="001B5EEA" w:rsidRDefault="007D0610" w:rsidP="007D0610">
      <w:pPr>
        <w:jc w:val="both"/>
        <w:rPr>
          <w:rFonts w:ascii="Palatino Linotype" w:hAnsi="Palatino Linotype"/>
          <w:i/>
          <w:sz w:val="20"/>
          <w:szCs w:val="20"/>
          <w:lang w:val="es-MX"/>
        </w:rPr>
      </w:pPr>
    </w:p>
    <w:p w:rsidR="007D0610" w:rsidRPr="001B5EEA" w:rsidRDefault="007D0610" w:rsidP="007D0610">
      <w:pPr>
        <w:jc w:val="both"/>
        <w:rPr>
          <w:rFonts w:ascii="Palatino Linotype" w:hAnsi="Palatino Linotype"/>
          <w:i/>
          <w:sz w:val="20"/>
          <w:szCs w:val="20"/>
          <w:lang w:val="es-MX"/>
        </w:rPr>
      </w:pPr>
      <w:r w:rsidRPr="001B5EEA">
        <w:rPr>
          <w:rFonts w:ascii="Palatino Linotype" w:hAnsi="Palatino Linotype"/>
          <w:i/>
          <w:sz w:val="20"/>
          <w:szCs w:val="20"/>
          <w:lang w:val="es-MX"/>
        </w:rPr>
        <w:t xml:space="preserve">A los fines de identificar la existencia de una economía altamente inflacionaria, la RT N° 39 y su normativa técnica complementaria, </w:t>
      </w:r>
      <w:r w:rsidR="00831189">
        <w:rPr>
          <w:rFonts w:ascii="Palatino Linotype" w:hAnsi="Palatino Linotype"/>
          <w:i/>
          <w:sz w:val="20"/>
          <w:szCs w:val="20"/>
          <w:lang w:val="es-MX"/>
        </w:rPr>
        <w:t xml:space="preserve">actualmente la Interpretación N° 8 de Normas Profesionales, </w:t>
      </w:r>
      <w:r w:rsidRPr="001B5EEA">
        <w:rPr>
          <w:rFonts w:ascii="Palatino Linotype" w:hAnsi="Palatino Linotype"/>
          <w:i/>
          <w:sz w:val="20"/>
          <w:szCs w:val="20"/>
          <w:lang w:val="es-MX"/>
        </w:rPr>
        <w:t>brindan una pauta cuantitativa que es condición necesaria para proceder a reexpresar las cifras de los estados contables, dicha pauta consiste en que la tasa acumulada de inflación en tres años, considerando el Índice de Precios Internos al por Mayor elaborado por el Instituto Nacional de Estadísticas y Censos (INDEC), alcance o sobrepase el 100%. También la norma proporciona una serie de pautas cualitativas que serían de utilidad para determinar si corresponde efectuar la referida reexpresión en un escenario en que existiera ausencia prolongada de un índice oficial de precios.</w:t>
      </w:r>
    </w:p>
    <w:p w:rsidR="007D0610" w:rsidRPr="001B5EEA" w:rsidRDefault="007D0610" w:rsidP="007D0610">
      <w:pPr>
        <w:jc w:val="both"/>
        <w:rPr>
          <w:rFonts w:ascii="Palatino Linotype" w:hAnsi="Palatino Linotype"/>
          <w:i/>
          <w:sz w:val="20"/>
          <w:szCs w:val="20"/>
          <w:lang w:val="es-MX"/>
        </w:rPr>
      </w:pPr>
    </w:p>
    <w:p w:rsidR="00393FD8" w:rsidRPr="00C60304" w:rsidRDefault="00393FD8" w:rsidP="00393FD8">
      <w:pPr>
        <w:jc w:val="both"/>
        <w:rPr>
          <w:rFonts w:ascii="Palatino Linotype" w:hAnsi="Palatino Linotype"/>
          <w:i/>
          <w:sz w:val="20"/>
          <w:szCs w:val="20"/>
        </w:rPr>
      </w:pPr>
      <w:r w:rsidRPr="00C60304">
        <w:rPr>
          <w:rFonts w:ascii="Palatino Linotype" w:hAnsi="Palatino Linotype"/>
          <w:i/>
          <w:sz w:val="20"/>
          <w:szCs w:val="20"/>
        </w:rPr>
        <w:lastRenderedPageBreak/>
        <w:t>Con fecha 07 de enero de 2016 el Poder Ejecutivo Nacional declaró en estado de emergencia administrativa al Sistema Estadístico Nacional y a su órgano rector, el INDEC y, en el marco de la emergencia, el INDEC discontinuó la emisión del Índice de Precios Internos al por Mayor (IPIM) durante los meses de noviembre y diciembre del año 2015. La publicación del IPIM</w:t>
      </w:r>
      <w:r w:rsidR="00831189">
        <w:rPr>
          <w:rFonts w:ascii="Palatino Linotype" w:hAnsi="Palatino Linotype"/>
          <w:i/>
          <w:sz w:val="20"/>
          <w:szCs w:val="20"/>
        </w:rPr>
        <w:t xml:space="preserve"> (expresado en términos de variación mensual)</w:t>
      </w:r>
      <w:r w:rsidRPr="00C60304">
        <w:rPr>
          <w:rFonts w:ascii="Palatino Linotype" w:hAnsi="Palatino Linotype"/>
          <w:i/>
          <w:sz w:val="20"/>
          <w:szCs w:val="20"/>
        </w:rPr>
        <w:t xml:space="preserve"> ha sido retomada por el mencionado Instituto desde el mes de enero de 2016.</w:t>
      </w:r>
    </w:p>
    <w:p w:rsidR="00393FD8" w:rsidRDefault="00393FD8" w:rsidP="00393FD8">
      <w:pPr>
        <w:jc w:val="both"/>
        <w:rPr>
          <w:rFonts w:ascii="Palatino Linotype" w:hAnsi="Palatino Linotype"/>
          <w:i/>
          <w:sz w:val="20"/>
          <w:szCs w:val="20"/>
        </w:rPr>
      </w:pPr>
    </w:p>
    <w:p w:rsidR="00393FD8" w:rsidRPr="00C60304" w:rsidRDefault="00393FD8" w:rsidP="00393FD8">
      <w:pPr>
        <w:jc w:val="both"/>
        <w:rPr>
          <w:rFonts w:ascii="Palatino Linotype" w:hAnsi="Palatino Linotype"/>
          <w:i/>
          <w:sz w:val="20"/>
          <w:szCs w:val="20"/>
        </w:rPr>
      </w:pPr>
      <w:r w:rsidRPr="00C60304">
        <w:rPr>
          <w:rFonts w:ascii="Palatino Linotype" w:hAnsi="Palatino Linotype"/>
          <w:i/>
          <w:sz w:val="20"/>
          <w:szCs w:val="20"/>
        </w:rPr>
        <w:t xml:space="preserve">Ante  lo establecido por </w:t>
      </w:r>
      <w:r>
        <w:rPr>
          <w:rFonts w:ascii="Palatino Linotype" w:hAnsi="Palatino Linotype"/>
          <w:i/>
          <w:sz w:val="20"/>
          <w:szCs w:val="20"/>
        </w:rPr>
        <w:t>la mencionada normativa profesional</w:t>
      </w:r>
      <w:r w:rsidRPr="00C60304">
        <w:rPr>
          <w:rFonts w:ascii="Palatino Linotype" w:hAnsi="Palatino Linotype"/>
          <w:i/>
          <w:sz w:val="20"/>
          <w:szCs w:val="20"/>
        </w:rPr>
        <w:t xml:space="preserve"> y la falta de la información emitida por el INDEC sobre la evolución del IPIM correspondiente a los dos últimos meses del año 2015, al efecto de evaluar si se ha alcanzado o sobrepasado la pauta cuantitativa señalada se han considerado dichos meses como “sin datos”.  Con la aplicación del criterio indicado, la evolución del IPIM durante el trienio cerrado al 30 de junio de 2016 que es objetivamente determinable con la información de precios internos al por mayor proporcionada por el INDEC no alcanza el 100%.   </w:t>
      </w:r>
    </w:p>
    <w:p w:rsidR="00704C73" w:rsidRDefault="00704C73" w:rsidP="00CD502B">
      <w:pPr>
        <w:jc w:val="both"/>
        <w:rPr>
          <w:rFonts w:ascii="Palatino Linotype" w:hAnsi="Palatino Linotype"/>
          <w:i/>
          <w:sz w:val="20"/>
          <w:szCs w:val="20"/>
        </w:rPr>
      </w:pPr>
    </w:p>
    <w:sectPr w:rsidR="00704C73" w:rsidSect="00704C73">
      <w:pgSz w:w="11906" w:h="16838"/>
      <w:pgMar w:top="2694" w:right="1701" w:bottom="283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12B" w:rsidRDefault="000B512B" w:rsidP="000B512B">
      <w:r>
        <w:separator/>
      </w:r>
    </w:p>
  </w:endnote>
  <w:endnote w:type="continuationSeparator" w:id="0">
    <w:p w:rsidR="000B512B" w:rsidRDefault="000B512B" w:rsidP="000B51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12B" w:rsidRDefault="000B512B" w:rsidP="000B512B">
      <w:r>
        <w:separator/>
      </w:r>
    </w:p>
  </w:footnote>
  <w:footnote w:type="continuationSeparator" w:id="0">
    <w:p w:rsidR="000B512B" w:rsidRDefault="000B512B" w:rsidP="000B51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F7197"/>
    <w:multiLevelType w:val="hybridMultilevel"/>
    <w:tmpl w:val="287C78F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A6A46ED"/>
    <w:multiLevelType w:val="hybridMultilevel"/>
    <w:tmpl w:val="EBFCBB8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B9F14F0"/>
    <w:multiLevelType w:val="hybridMultilevel"/>
    <w:tmpl w:val="DBC4805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09B67DE"/>
    <w:multiLevelType w:val="hybridMultilevel"/>
    <w:tmpl w:val="FFBA4A7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1"/>
    <w:footnote w:id="0"/>
  </w:footnotePr>
  <w:endnotePr>
    <w:endnote w:id="-1"/>
    <w:endnote w:id="0"/>
  </w:endnotePr>
  <w:compat/>
  <w:rsids>
    <w:rsidRoot w:val="00020A43"/>
    <w:rsid w:val="00020A43"/>
    <w:rsid w:val="000671DA"/>
    <w:rsid w:val="00075907"/>
    <w:rsid w:val="000B512B"/>
    <w:rsid w:val="00113275"/>
    <w:rsid w:val="0012396F"/>
    <w:rsid w:val="00145717"/>
    <w:rsid w:val="0015068B"/>
    <w:rsid w:val="00186AD6"/>
    <w:rsid w:val="001D048A"/>
    <w:rsid w:val="001D56FB"/>
    <w:rsid w:val="001E2B43"/>
    <w:rsid w:val="001E580B"/>
    <w:rsid w:val="001F3A51"/>
    <w:rsid w:val="00204C26"/>
    <w:rsid w:val="00217B15"/>
    <w:rsid w:val="002342B2"/>
    <w:rsid w:val="002437E4"/>
    <w:rsid w:val="002454FC"/>
    <w:rsid w:val="002933DF"/>
    <w:rsid w:val="00296CCC"/>
    <w:rsid w:val="002B4072"/>
    <w:rsid w:val="002B5612"/>
    <w:rsid w:val="002F2023"/>
    <w:rsid w:val="00341197"/>
    <w:rsid w:val="00342500"/>
    <w:rsid w:val="00375D88"/>
    <w:rsid w:val="00381734"/>
    <w:rsid w:val="003834CE"/>
    <w:rsid w:val="00393FD8"/>
    <w:rsid w:val="003F2020"/>
    <w:rsid w:val="003F6733"/>
    <w:rsid w:val="00451F36"/>
    <w:rsid w:val="00455D08"/>
    <w:rsid w:val="00461735"/>
    <w:rsid w:val="004635BF"/>
    <w:rsid w:val="004B1287"/>
    <w:rsid w:val="004E40B9"/>
    <w:rsid w:val="004E4C14"/>
    <w:rsid w:val="0050496C"/>
    <w:rsid w:val="005103B2"/>
    <w:rsid w:val="005B3597"/>
    <w:rsid w:val="005D3FAE"/>
    <w:rsid w:val="005E0305"/>
    <w:rsid w:val="00621868"/>
    <w:rsid w:val="00646445"/>
    <w:rsid w:val="00655783"/>
    <w:rsid w:val="00677F03"/>
    <w:rsid w:val="006B17D3"/>
    <w:rsid w:val="006D3FCB"/>
    <w:rsid w:val="006D74DC"/>
    <w:rsid w:val="00704C73"/>
    <w:rsid w:val="00754A4A"/>
    <w:rsid w:val="00756DA1"/>
    <w:rsid w:val="00787D14"/>
    <w:rsid w:val="007A0F43"/>
    <w:rsid w:val="007B3D29"/>
    <w:rsid w:val="007C18B4"/>
    <w:rsid w:val="007D0610"/>
    <w:rsid w:val="00831189"/>
    <w:rsid w:val="008420C4"/>
    <w:rsid w:val="0084497A"/>
    <w:rsid w:val="0087153B"/>
    <w:rsid w:val="008A7919"/>
    <w:rsid w:val="00911502"/>
    <w:rsid w:val="009628CF"/>
    <w:rsid w:val="00991BB1"/>
    <w:rsid w:val="009A22C4"/>
    <w:rsid w:val="009B2488"/>
    <w:rsid w:val="009F38C1"/>
    <w:rsid w:val="00A015AF"/>
    <w:rsid w:val="00A373ED"/>
    <w:rsid w:val="00A5349F"/>
    <w:rsid w:val="00B02DAC"/>
    <w:rsid w:val="00B23366"/>
    <w:rsid w:val="00B37DB3"/>
    <w:rsid w:val="00B61A47"/>
    <w:rsid w:val="00B718E9"/>
    <w:rsid w:val="00B73D12"/>
    <w:rsid w:val="00BB23ED"/>
    <w:rsid w:val="00BF1F76"/>
    <w:rsid w:val="00C05182"/>
    <w:rsid w:val="00C30ACD"/>
    <w:rsid w:val="00C60304"/>
    <w:rsid w:val="00CD502B"/>
    <w:rsid w:val="00CE5B4D"/>
    <w:rsid w:val="00D113A0"/>
    <w:rsid w:val="00D42980"/>
    <w:rsid w:val="00D76757"/>
    <w:rsid w:val="00E12E45"/>
    <w:rsid w:val="00E85256"/>
    <w:rsid w:val="00E9101B"/>
    <w:rsid w:val="00EE7D88"/>
    <w:rsid w:val="00F331EB"/>
    <w:rsid w:val="00F362E3"/>
    <w:rsid w:val="00F45A1B"/>
    <w:rsid w:val="00F66F14"/>
    <w:rsid w:val="00F73E8E"/>
    <w:rsid w:val="00FA4C59"/>
    <w:rsid w:val="00FB4A9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A4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04C73"/>
    <w:pPr>
      <w:keepNext/>
      <w:overflowPunct w:val="0"/>
      <w:autoSpaceDE w:val="0"/>
      <w:autoSpaceDN w:val="0"/>
      <w:adjustRightInd w:val="0"/>
      <w:jc w:val="center"/>
      <w:outlineLvl w:val="0"/>
    </w:pPr>
    <w:rPr>
      <w:rFonts w:ascii="Palatino Linotype" w:hAnsi="Palatino Linotype"/>
      <w:b/>
      <w:i/>
      <w:sz w:val="20"/>
      <w:szCs w:val="20"/>
      <w:u w:val="single"/>
    </w:rPr>
  </w:style>
  <w:style w:type="paragraph" w:styleId="Ttulo3">
    <w:name w:val="heading 3"/>
    <w:basedOn w:val="Normal"/>
    <w:next w:val="Normal"/>
    <w:link w:val="Ttulo3Car"/>
    <w:qFormat/>
    <w:rsid w:val="00704C73"/>
    <w:pPr>
      <w:keepNext/>
      <w:spacing w:before="240" w:after="60"/>
      <w:outlineLvl w:val="2"/>
    </w:pPr>
    <w:rPr>
      <w:rFonts w:ascii="Arial" w:hAnsi="Arial" w:cs="Arial"/>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F38C1"/>
  </w:style>
  <w:style w:type="paragraph" w:styleId="Prrafodelista">
    <w:name w:val="List Paragraph"/>
    <w:basedOn w:val="Normal"/>
    <w:uiPriority w:val="34"/>
    <w:qFormat/>
    <w:rsid w:val="00D76757"/>
    <w:pPr>
      <w:ind w:left="720"/>
      <w:contextualSpacing/>
    </w:pPr>
  </w:style>
  <w:style w:type="character" w:styleId="Hipervnculo">
    <w:name w:val="Hyperlink"/>
    <w:basedOn w:val="Fuentedeprrafopredeter"/>
    <w:uiPriority w:val="99"/>
    <w:unhideWhenUsed/>
    <w:rsid w:val="005E0305"/>
    <w:rPr>
      <w:color w:val="0000FF" w:themeColor="hyperlink"/>
      <w:u w:val="single"/>
    </w:rPr>
  </w:style>
  <w:style w:type="paragraph" w:styleId="NormalWeb">
    <w:name w:val="Normal (Web)"/>
    <w:basedOn w:val="Normal"/>
    <w:uiPriority w:val="99"/>
    <w:semiHidden/>
    <w:unhideWhenUsed/>
    <w:rsid w:val="005E0305"/>
    <w:pPr>
      <w:spacing w:before="100" w:beforeAutospacing="1" w:after="100" w:afterAutospacing="1"/>
    </w:pPr>
    <w:rPr>
      <w:lang w:val="es-AR" w:eastAsia="es-AR"/>
    </w:rPr>
  </w:style>
  <w:style w:type="character" w:customStyle="1" w:styleId="resumen">
    <w:name w:val="resumen"/>
    <w:basedOn w:val="Fuentedeprrafopredeter"/>
    <w:rsid w:val="005E0305"/>
  </w:style>
  <w:style w:type="paragraph" w:customStyle="1" w:styleId="epigrafe">
    <w:name w:val="epigrafe"/>
    <w:basedOn w:val="Normal"/>
    <w:rsid w:val="005E0305"/>
    <w:pPr>
      <w:spacing w:before="100" w:beforeAutospacing="1" w:after="100" w:afterAutospacing="1"/>
    </w:pPr>
    <w:rPr>
      <w:lang w:val="es-AR" w:eastAsia="es-AR"/>
    </w:rPr>
  </w:style>
  <w:style w:type="character" w:customStyle="1" w:styleId="detalle">
    <w:name w:val="detalle"/>
    <w:basedOn w:val="Fuentedeprrafopredeter"/>
    <w:rsid w:val="005E0305"/>
  </w:style>
  <w:style w:type="paragraph" w:styleId="Textodeglobo">
    <w:name w:val="Balloon Text"/>
    <w:basedOn w:val="Normal"/>
    <w:link w:val="TextodegloboCar"/>
    <w:uiPriority w:val="99"/>
    <w:semiHidden/>
    <w:unhideWhenUsed/>
    <w:rsid w:val="005E0305"/>
    <w:rPr>
      <w:rFonts w:ascii="Tahoma" w:hAnsi="Tahoma" w:cs="Tahoma"/>
      <w:sz w:val="16"/>
      <w:szCs w:val="16"/>
    </w:rPr>
  </w:style>
  <w:style w:type="character" w:customStyle="1" w:styleId="TextodegloboCar">
    <w:name w:val="Texto de globo Car"/>
    <w:basedOn w:val="Fuentedeprrafopredeter"/>
    <w:link w:val="Textodeglobo"/>
    <w:uiPriority w:val="99"/>
    <w:semiHidden/>
    <w:rsid w:val="005E0305"/>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704C73"/>
    <w:rPr>
      <w:rFonts w:ascii="Palatino Linotype" w:eastAsia="Times New Roman" w:hAnsi="Palatino Linotype" w:cs="Times New Roman"/>
      <w:b/>
      <w:i/>
      <w:sz w:val="20"/>
      <w:szCs w:val="20"/>
      <w:u w:val="single"/>
      <w:lang w:val="es-ES" w:eastAsia="es-ES"/>
    </w:rPr>
  </w:style>
  <w:style w:type="character" w:customStyle="1" w:styleId="Ttulo3Car">
    <w:name w:val="Título 3 Car"/>
    <w:basedOn w:val="Fuentedeprrafopredeter"/>
    <w:link w:val="Ttulo3"/>
    <w:rsid w:val="00704C73"/>
    <w:rPr>
      <w:rFonts w:ascii="Arial" w:eastAsia="Times New Roman" w:hAnsi="Arial" w:cs="Arial"/>
      <w:b/>
      <w:bCs/>
      <w:sz w:val="26"/>
      <w:szCs w:val="26"/>
      <w:lang w:val="es-ES_tradnl" w:eastAsia="es-ES"/>
    </w:rPr>
  </w:style>
  <w:style w:type="paragraph" w:customStyle="1" w:styleId="Textodebloque1">
    <w:name w:val="Texto de bloque1"/>
    <w:basedOn w:val="Normal"/>
    <w:rsid w:val="00704C73"/>
    <w:pPr>
      <w:overflowPunct w:val="0"/>
      <w:autoSpaceDE w:val="0"/>
      <w:autoSpaceDN w:val="0"/>
      <w:adjustRightInd w:val="0"/>
      <w:ind w:left="180" w:right="360"/>
      <w:jc w:val="both"/>
    </w:pPr>
    <w:rPr>
      <w:rFonts w:ascii="Palatino Linotype" w:hAnsi="Palatino Linotype"/>
      <w:i/>
      <w:sz w:val="20"/>
      <w:szCs w:val="20"/>
    </w:rPr>
  </w:style>
  <w:style w:type="paragraph" w:styleId="Encabezado">
    <w:name w:val="header"/>
    <w:basedOn w:val="Normal"/>
    <w:link w:val="EncabezadoCar"/>
    <w:uiPriority w:val="99"/>
    <w:semiHidden/>
    <w:unhideWhenUsed/>
    <w:rsid w:val="000B512B"/>
    <w:pPr>
      <w:tabs>
        <w:tab w:val="center" w:pos="4252"/>
        <w:tab w:val="right" w:pos="8504"/>
      </w:tabs>
    </w:pPr>
  </w:style>
  <w:style w:type="character" w:customStyle="1" w:styleId="EncabezadoCar">
    <w:name w:val="Encabezado Car"/>
    <w:basedOn w:val="Fuentedeprrafopredeter"/>
    <w:link w:val="Encabezado"/>
    <w:uiPriority w:val="99"/>
    <w:semiHidden/>
    <w:rsid w:val="000B512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semiHidden/>
    <w:unhideWhenUsed/>
    <w:rsid w:val="000B512B"/>
    <w:pPr>
      <w:tabs>
        <w:tab w:val="center" w:pos="4252"/>
        <w:tab w:val="right" w:pos="8504"/>
      </w:tabs>
    </w:pPr>
  </w:style>
  <w:style w:type="character" w:customStyle="1" w:styleId="PiedepginaCar">
    <w:name w:val="Pie de página Car"/>
    <w:basedOn w:val="Fuentedeprrafopredeter"/>
    <w:link w:val="Piedepgina"/>
    <w:uiPriority w:val="99"/>
    <w:semiHidden/>
    <w:rsid w:val="000B512B"/>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035697450">
      <w:bodyDiv w:val="1"/>
      <w:marLeft w:val="0"/>
      <w:marRight w:val="0"/>
      <w:marTop w:val="0"/>
      <w:marBottom w:val="0"/>
      <w:divBdr>
        <w:top w:val="none" w:sz="0" w:space="0" w:color="auto"/>
        <w:left w:val="none" w:sz="0" w:space="0" w:color="auto"/>
        <w:bottom w:val="none" w:sz="0" w:space="0" w:color="auto"/>
        <w:right w:val="none" w:sz="0" w:space="0" w:color="auto"/>
      </w:divBdr>
      <w:divsChild>
        <w:div w:id="472646651">
          <w:marLeft w:val="0"/>
          <w:marRight w:val="0"/>
          <w:marTop w:val="0"/>
          <w:marBottom w:val="0"/>
          <w:divBdr>
            <w:top w:val="none" w:sz="0" w:space="0" w:color="auto"/>
            <w:left w:val="none" w:sz="0" w:space="0" w:color="auto"/>
            <w:bottom w:val="none" w:sz="0" w:space="0" w:color="auto"/>
            <w:right w:val="none" w:sz="0" w:space="0" w:color="auto"/>
          </w:divBdr>
        </w:div>
        <w:div w:id="1118986719">
          <w:marLeft w:val="200"/>
          <w:marRight w:val="0"/>
          <w:marTop w:val="0"/>
          <w:marBottom w:val="0"/>
          <w:divBdr>
            <w:top w:val="none" w:sz="0" w:space="0" w:color="auto"/>
            <w:left w:val="none" w:sz="0" w:space="0" w:color="auto"/>
            <w:bottom w:val="none" w:sz="0" w:space="0" w:color="auto"/>
            <w:right w:val="none" w:sz="0" w:space="0" w:color="auto"/>
          </w:divBdr>
        </w:div>
      </w:divsChild>
    </w:div>
    <w:div w:id="170809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7B19A-12EA-423F-8758-629279861DC0}">
  <ds:schemaRefs>
    <ds:schemaRef ds:uri="http://schemas.microsoft.com/office/2006/metadata/properties"/>
  </ds:schemaRefs>
</ds:datastoreItem>
</file>

<file path=customXml/itemProps2.xml><?xml version="1.0" encoding="utf-8"?>
<ds:datastoreItem xmlns:ds="http://schemas.openxmlformats.org/officeDocument/2006/customXml" ds:itemID="{31DF7CE0-3F2F-4320-86D3-FA0A00FFC1BD}">
  <ds:schemaRefs>
    <ds:schemaRef ds:uri="http://schemas.microsoft.com/sharepoint/v3/contenttype/forms"/>
  </ds:schemaRefs>
</ds:datastoreItem>
</file>

<file path=customXml/itemProps3.xml><?xml version="1.0" encoding="utf-8"?>
<ds:datastoreItem xmlns:ds="http://schemas.openxmlformats.org/officeDocument/2006/customXml" ds:itemID="{1E582788-4B68-4765-890B-81BE07CB3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73E3D99-7A09-47C3-816A-64D25D9A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4585</Words>
  <Characters>26140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guido.garcia</dc:creator>
  <cp:lastModifiedBy>Agustina.Valsecchi</cp:lastModifiedBy>
  <cp:revision>2</cp:revision>
  <cp:lastPrinted>2016-09-14T15:51:00Z</cp:lastPrinted>
  <dcterms:created xsi:type="dcterms:W3CDTF">2016-09-14T19:25:00Z</dcterms:created>
  <dcterms:modified xsi:type="dcterms:W3CDTF">2016-09-14T19:25:00Z</dcterms:modified>
</cp:coreProperties>
</file>