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73" w:rsidRPr="00C60304" w:rsidRDefault="00704C73" w:rsidP="00704C73">
      <w:pPr>
        <w:pStyle w:val="Prrafodelista"/>
        <w:ind w:left="0"/>
        <w:rPr>
          <w:rFonts w:ascii="Palatino Linotype" w:hAnsi="Palatino Linotype"/>
          <w:b/>
          <w:i/>
          <w:sz w:val="20"/>
          <w:szCs w:val="20"/>
        </w:rPr>
      </w:pPr>
      <w:r w:rsidRPr="00C60304">
        <w:rPr>
          <w:rFonts w:ascii="Palatino Linotype" w:hAnsi="Palatino Linotype"/>
          <w:b/>
          <w:i/>
          <w:sz w:val="20"/>
          <w:szCs w:val="20"/>
        </w:rPr>
        <w:t xml:space="preserve">NORMA DE APLICACIÓN </w:t>
      </w:r>
      <w:r>
        <w:rPr>
          <w:rFonts w:ascii="Palatino Linotype" w:hAnsi="Palatino Linotype"/>
          <w:b/>
          <w:i/>
          <w:sz w:val="20"/>
          <w:szCs w:val="20"/>
        </w:rPr>
        <w:t xml:space="preserve"> </w:t>
      </w:r>
      <w:r w:rsidRPr="00C60304">
        <w:rPr>
          <w:rFonts w:ascii="Palatino Linotype" w:hAnsi="Palatino Linotype"/>
          <w:b/>
          <w:i/>
          <w:sz w:val="20"/>
          <w:szCs w:val="20"/>
        </w:rPr>
        <w:t>N°</w:t>
      </w:r>
      <w:r>
        <w:rPr>
          <w:rFonts w:ascii="Palatino Linotype" w:hAnsi="Palatino Linotype"/>
          <w:b/>
          <w:i/>
          <w:sz w:val="20"/>
          <w:szCs w:val="20"/>
        </w:rPr>
        <w:t xml:space="preserve"> 98</w:t>
      </w:r>
    </w:p>
    <w:p w:rsidR="00704C73" w:rsidRDefault="00704C73" w:rsidP="00CD502B">
      <w:pPr>
        <w:jc w:val="both"/>
        <w:rPr>
          <w:rFonts w:ascii="Palatino Linotype" w:hAnsi="Palatino Linotype"/>
          <w:i/>
          <w:sz w:val="20"/>
          <w:szCs w:val="20"/>
        </w:rPr>
      </w:pPr>
    </w:p>
    <w:p w:rsidR="00704C73" w:rsidRDefault="00704C73" w:rsidP="00704C73">
      <w:pPr>
        <w:pStyle w:val="Prrafodelista"/>
        <w:tabs>
          <w:tab w:val="left" w:pos="4111"/>
        </w:tabs>
        <w:ind w:left="4536" w:hanging="425"/>
        <w:jc w:val="both"/>
        <w:rPr>
          <w:rFonts w:ascii="Palatino Linotype" w:hAnsi="Palatino Linotype"/>
          <w:i/>
          <w:sz w:val="20"/>
          <w:szCs w:val="20"/>
        </w:rPr>
      </w:pPr>
      <w:r w:rsidRPr="00387368">
        <w:rPr>
          <w:rFonts w:ascii="Palatino Linotype" w:hAnsi="Palatino Linotype"/>
          <w:b/>
          <w:i/>
          <w:sz w:val="20"/>
          <w:szCs w:val="20"/>
          <w:u w:val="single"/>
        </w:rPr>
        <w:t>Ref</w:t>
      </w:r>
      <w:r w:rsidRPr="00387368">
        <w:rPr>
          <w:rFonts w:ascii="Palatino Linotype" w:hAnsi="Palatino Linotype"/>
          <w:i/>
          <w:sz w:val="20"/>
          <w:szCs w:val="20"/>
        </w:rPr>
        <w:t xml:space="preserve">: </w:t>
      </w:r>
      <w:r>
        <w:rPr>
          <w:rFonts w:ascii="Palatino Linotype" w:hAnsi="Palatino Linotype"/>
          <w:i/>
          <w:sz w:val="20"/>
          <w:szCs w:val="20"/>
        </w:rPr>
        <w:t>Categorización de los Entes como Ente Pequeño o Ente Mediano. Actualización del parámetro.</w:t>
      </w:r>
      <w:r w:rsidR="00F45A1B">
        <w:rPr>
          <w:rFonts w:ascii="Palatino Linotype" w:hAnsi="Palatino Linotype"/>
          <w:i/>
          <w:sz w:val="20"/>
          <w:szCs w:val="20"/>
        </w:rPr>
        <w:t xml:space="preserve"> Aclaración sobre metodología.</w:t>
      </w:r>
    </w:p>
    <w:p w:rsidR="00F45A1B" w:rsidRDefault="00F45A1B" w:rsidP="00704C73">
      <w:pPr>
        <w:pStyle w:val="Prrafodelista"/>
        <w:tabs>
          <w:tab w:val="left" w:pos="4111"/>
        </w:tabs>
        <w:ind w:left="4536" w:hanging="425"/>
        <w:jc w:val="both"/>
        <w:rPr>
          <w:rFonts w:ascii="Palatino Linotype" w:hAnsi="Palatino Linotype"/>
          <w:i/>
          <w:sz w:val="20"/>
          <w:szCs w:val="20"/>
        </w:rPr>
      </w:pPr>
    </w:p>
    <w:p w:rsidR="00F45A1B" w:rsidRDefault="00F45A1B" w:rsidP="00F45A1B">
      <w:pPr>
        <w:jc w:val="both"/>
        <w:rPr>
          <w:rFonts w:ascii="Palatino Linotype" w:hAnsi="Palatino Linotype" w:cs="Arial"/>
          <w:i/>
          <w:color w:val="222222"/>
          <w:sz w:val="20"/>
          <w:szCs w:val="20"/>
          <w:shd w:val="clear" w:color="auto" w:fill="FFFFFF"/>
        </w:rPr>
      </w:pPr>
      <w:r>
        <w:rPr>
          <w:rFonts w:ascii="Palatino Linotype" w:hAnsi="Palatino Linotype" w:cs="Arial"/>
          <w:i/>
          <w:color w:val="222222"/>
          <w:sz w:val="20"/>
          <w:szCs w:val="20"/>
          <w:shd w:val="clear" w:color="auto" w:fill="FFFFFF"/>
        </w:rPr>
        <w:t>Siendo que el parámetro cuantitativo a utilizar para la calificación de los entes como Pequeños y Medianos en el marco de la Resolución Técnica N° 41 es</w:t>
      </w:r>
      <w:r w:rsidR="000B512B">
        <w:rPr>
          <w:rFonts w:ascii="Palatino Linotype" w:hAnsi="Palatino Linotype" w:cs="Arial"/>
          <w:i/>
          <w:color w:val="222222"/>
          <w:sz w:val="20"/>
          <w:szCs w:val="20"/>
          <w:shd w:val="clear" w:color="auto" w:fill="FFFFFF"/>
        </w:rPr>
        <w:t>tá</w:t>
      </w:r>
      <w:r>
        <w:rPr>
          <w:rFonts w:ascii="Palatino Linotype" w:hAnsi="Palatino Linotype" w:cs="Arial"/>
          <w:i/>
          <w:color w:val="222222"/>
          <w:sz w:val="20"/>
          <w:szCs w:val="20"/>
          <w:shd w:val="clear" w:color="auto" w:fill="FFFFFF"/>
        </w:rPr>
        <w:t xml:space="preserve"> dado por un monto de ingresos establecido en moneda de diciembre 2014, el cual se actualiza en función del IPIM emitido por el INDEC,  ante la falta de publicación del índice en los meses de noviembre y diciembre de 2015, se aclara que para realizar el pertinente cálculo con ese fin se considerará que en dichos</w:t>
      </w:r>
      <w:r w:rsidRPr="00B23366">
        <w:rPr>
          <w:rFonts w:ascii="Palatino Linotype" w:hAnsi="Palatino Linotype" w:cs="Arial"/>
          <w:i/>
          <w:color w:val="222222"/>
          <w:sz w:val="20"/>
          <w:szCs w:val="20"/>
          <w:shd w:val="clear" w:color="auto" w:fill="FFFFFF"/>
        </w:rPr>
        <w:t xml:space="preserve"> </w:t>
      </w:r>
      <w:r w:rsidR="005103B2">
        <w:rPr>
          <w:rFonts w:ascii="Palatino Linotype" w:hAnsi="Palatino Linotype" w:cs="Arial"/>
          <w:i/>
          <w:color w:val="222222"/>
          <w:sz w:val="20"/>
          <w:szCs w:val="20"/>
          <w:shd w:val="clear" w:color="auto" w:fill="FFFFFF"/>
        </w:rPr>
        <w:t xml:space="preserve">meses </w:t>
      </w:r>
      <w:r w:rsidRPr="00B23366">
        <w:rPr>
          <w:rFonts w:ascii="Palatino Linotype" w:hAnsi="Palatino Linotype" w:cs="Arial"/>
          <w:i/>
          <w:color w:val="222222"/>
          <w:sz w:val="20"/>
          <w:szCs w:val="20"/>
          <w:shd w:val="clear" w:color="auto" w:fill="FFFFFF"/>
        </w:rPr>
        <w:t>no se tienen datos publicados</w:t>
      </w:r>
      <w:r>
        <w:rPr>
          <w:rFonts w:ascii="Palatino Linotype" w:hAnsi="Palatino Linotype" w:cs="Arial"/>
          <w:i/>
          <w:color w:val="222222"/>
          <w:sz w:val="20"/>
          <w:szCs w:val="20"/>
          <w:shd w:val="clear" w:color="auto" w:fill="FFFFFF"/>
        </w:rPr>
        <w:t>.</w:t>
      </w:r>
    </w:p>
    <w:p w:rsidR="00F45A1B" w:rsidRDefault="00F45A1B" w:rsidP="00F45A1B">
      <w:pPr>
        <w:jc w:val="both"/>
        <w:rPr>
          <w:rFonts w:ascii="Palatino Linotype" w:hAnsi="Palatino Linotype" w:cs="Arial"/>
          <w:i/>
          <w:color w:val="222222"/>
          <w:sz w:val="20"/>
          <w:szCs w:val="20"/>
          <w:shd w:val="clear" w:color="auto" w:fill="FFFFFF"/>
        </w:rPr>
      </w:pPr>
    </w:p>
    <w:p w:rsidR="00F45A1B" w:rsidRPr="0087153B" w:rsidRDefault="00F45A1B" w:rsidP="0087153B">
      <w:pPr>
        <w:jc w:val="both"/>
        <w:rPr>
          <w:rFonts w:ascii="Palatino Linotype" w:hAnsi="Palatino Linotype"/>
          <w:i/>
          <w:sz w:val="20"/>
          <w:szCs w:val="20"/>
        </w:rPr>
      </w:pPr>
      <w:r>
        <w:rPr>
          <w:rFonts w:ascii="Palatino Linotype" w:hAnsi="Palatino Linotype"/>
          <w:i/>
          <w:sz w:val="20"/>
          <w:szCs w:val="20"/>
        </w:rPr>
        <w:t>Cuando a la fecha el</w:t>
      </w:r>
      <w:r w:rsidRPr="00F45A1B">
        <w:rPr>
          <w:rFonts w:ascii="Palatino Linotype" w:hAnsi="Palatino Linotype"/>
          <w:i/>
          <w:sz w:val="20"/>
          <w:szCs w:val="20"/>
        </w:rPr>
        <w:t xml:space="preserve"> ejercicio en el que debía categorizarse el ente como Pequeño o Mediano </w:t>
      </w:r>
      <w:r>
        <w:rPr>
          <w:rFonts w:ascii="Palatino Linotype" w:hAnsi="Palatino Linotype"/>
          <w:i/>
          <w:sz w:val="20"/>
          <w:szCs w:val="20"/>
        </w:rPr>
        <w:t xml:space="preserve">ya </w:t>
      </w:r>
      <w:r w:rsidRPr="00F45A1B">
        <w:rPr>
          <w:rFonts w:ascii="Palatino Linotype" w:hAnsi="Palatino Linotype"/>
          <w:i/>
          <w:sz w:val="20"/>
          <w:szCs w:val="20"/>
        </w:rPr>
        <w:t xml:space="preserve">ha cerrado  y se ha tenido que resolver sobre la norma a aplicar en el marco de la incertidumbre </w:t>
      </w:r>
      <w:r>
        <w:rPr>
          <w:rFonts w:ascii="Palatino Linotype" w:hAnsi="Palatino Linotype"/>
          <w:i/>
          <w:sz w:val="20"/>
          <w:szCs w:val="20"/>
        </w:rPr>
        <w:t>que provocó la falta de publicación del IPIM</w:t>
      </w:r>
      <w:r w:rsidR="0087153B">
        <w:rPr>
          <w:rFonts w:ascii="Palatino Linotype" w:hAnsi="Palatino Linotype"/>
          <w:i/>
          <w:sz w:val="20"/>
          <w:szCs w:val="20"/>
        </w:rPr>
        <w:t>;</w:t>
      </w:r>
      <w:r w:rsidRPr="00F45A1B">
        <w:rPr>
          <w:rFonts w:ascii="Palatino Linotype" w:hAnsi="Palatino Linotype"/>
          <w:i/>
          <w:sz w:val="20"/>
          <w:szCs w:val="20"/>
        </w:rPr>
        <w:t xml:space="preserve"> </w:t>
      </w:r>
      <w:r>
        <w:rPr>
          <w:rFonts w:ascii="Palatino Linotype" w:hAnsi="Palatino Linotype"/>
          <w:i/>
          <w:sz w:val="20"/>
          <w:szCs w:val="20"/>
        </w:rPr>
        <w:t xml:space="preserve"> circunstancia que podrá acontecer </w:t>
      </w:r>
      <w:r w:rsidRPr="00F45A1B">
        <w:rPr>
          <w:rFonts w:ascii="Palatino Linotype" w:hAnsi="Palatino Linotype"/>
          <w:i/>
          <w:sz w:val="20"/>
          <w:szCs w:val="20"/>
        </w:rPr>
        <w:t>básicamente</w:t>
      </w:r>
      <w:r>
        <w:rPr>
          <w:rFonts w:ascii="Palatino Linotype" w:hAnsi="Palatino Linotype"/>
          <w:i/>
          <w:sz w:val="20"/>
          <w:szCs w:val="20"/>
        </w:rPr>
        <w:t xml:space="preserve"> en </w:t>
      </w:r>
      <w:r w:rsidRPr="00F45A1B">
        <w:rPr>
          <w:rFonts w:ascii="Palatino Linotype" w:hAnsi="Palatino Linotype"/>
          <w:i/>
          <w:sz w:val="20"/>
          <w:szCs w:val="20"/>
        </w:rPr>
        <w:t>dos</w:t>
      </w:r>
      <w:r>
        <w:rPr>
          <w:rFonts w:ascii="Palatino Linotype" w:hAnsi="Palatino Linotype"/>
          <w:i/>
          <w:sz w:val="20"/>
          <w:szCs w:val="20"/>
        </w:rPr>
        <w:t xml:space="preserve"> casos</w:t>
      </w:r>
      <w:r w:rsidRPr="00F45A1B">
        <w:rPr>
          <w:rFonts w:ascii="Palatino Linotype" w:hAnsi="Palatino Linotype"/>
          <w:i/>
          <w:sz w:val="20"/>
          <w:szCs w:val="20"/>
        </w:rPr>
        <w:t xml:space="preserve">: a) Un primer ejercicio con fecha de cierre a partir del 1 de noviembre de 2015, o b) Un ejercicio irregular iniciado  a partir de 1 de diciembre de 2015 y cerrado antes de la </w:t>
      </w:r>
      <w:r w:rsidR="0087153B">
        <w:rPr>
          <w:rFonts w:ascii="Palatino Linotype" w:hAnsi="Palatino Linotype"/>
          <w:i/>
          <w:sz w:val="20"/>
          <w:szCs w:val="20"/>
        </w:rPr>
        <w:t>presente aclaración de que se utiliza el IPIM publicado por el INDEC</w:t>
      </w:r>
      <w:r w:rsidRPr="00F45A1B">
        <w:rPr>
          <w:rFonts w:ascii="Palatino Linotype" w:hAnsi="Palatino Linotype"/>
          <w:i/>
          <w:sz w:val="20"/>
          <w:szCs w:val="20"/>
        </w:rPr>
        <w:t>, considera</w:t>
      </w:r>
      <w:r w:rsidR="0087153B">
        <w:rPr>
          <w:rFonts w:ascii="Palatino Linotype" w:hAnsi="Palatino Linotype"/>
          <w:i/>
          <w:sz w:val="20"/>
          <w:szCs w:val="20"/>
        </w:rPr>
        <w:t>ndo</w:t>
      </w:r>
      <w:r w:rsidRPr="00F45A1B">
        <w:rPr>
          <w:rFonts w:ascii="Palatino Linotype" w:hAnsi="Palatino Linotype"/>
          <w:i/>
          <w:sz w:val="20"/>
          <w:szCs w:val="20"/>
        </w:rPr>
        <w:t xml:space="preserve"> a los meses de noviembre y diciembre de 2015 como sin datos</w:t>
      </w:r>
      <w:r w:rsidR="0087153B">
        <w:rPr>
          <w:rFonts w:ascii="Palatino Linotype" w:hAnsi="Palatino Linotype"/>
          <w:i/>
          <w:sz w:val="20"/>
          <w:szCs w:val="20"/>
        </w:rPr>
        <w:t xml:space="preserve">; se </w:t>
      </w:r>
      <w:r w:rsidR="00455D08">
        <w:rPr>
          <w:rFonts w:ascii="Palatino Linotype" w:hAnsi="Palatino Linotype"/>
          <w:i/>
          <w:sz w:val="20"/>
          <w:szCs w:val="20"/>
        </w:rPr>
        <w:t xml:space="preserve">reputará como </w:t>
      </w:r>
      <w:r w:rsidR="0087153B">
        <w:rPr>
          <w:rFonts w:ascii="Palatino Linotype" w:hAnsi="Palatino Linotype"/>
          <w:i/>
          <w:sz w:val="20"/>
          <w:szCs w:val="20"/>
        </w:rPr>
        <w:t>válido el</w:t>
      </w:r>
      <w:r w:rsidRPr="0087153B">
        <w:rPr>
          <w:rFonts w:ascii="Palatino Linotype" w:hAnsi="Palatino Linotype"/>
          <w:b/>
          <w:i/>
          <w:sz w:val="20"/>
          <w:szCs w:val="20"/>
        </w:rPr>
        <w:t xml:space="preserve"> </w:t>
      </w:r>
      <w:r w:rsidRPr="0087153B">
        <w:rPr>
          <w:rFonts w:ascii="Palatino Linotype" w:hAnsi="Palatino Linotype"/>
          <w:i/>
          <w:sz w:val="20"/>
          <w:szCs w:val="20"/>
        </w:rPr>
        <w:t>criterio seguido por el ente para su categorización en tanto el mismo tenga una justificación razonable</w:t>
      </w:r>
      <w:r w:rsidR="0087153B" w:rsidRPr="0087153B">
        <w:rPr>
          <w:rFonts w:ascii="Palatino Linotype" w:hAnsi="Palatino Linotype"/>
          <w:i/>
          <w:sz w:val="20"/>
          <w:szCs w:val="20"/>
        </w:rPr>
        <w:t>.</w:t>
      </w:r>
    </w:p>
    <w:p w:rsidR="00F45A1B" w:rsidRDefault="00F45A1B" w:rsidP="00F45A1B">
      <w:pPr>
        <w:pStyle w:val="Prrafodelista"/>
        <w:jc w:val="both"/>
        <w:rPr>
          <w:rFonts w:ascii="Palatino Linotype" w:hAnsi="Palatino Linotype"/>
          <w:i/>
          <w:sz w:val="20"/>
          <w:szCs w:val="20"/>
        </w:rPr>
      </w:pPr>
    </w:p>
    <w:p w:rsidR="00F45A1B" w:rsidRPr="00BA2310" w:rsidRDefault="0087153B" w:rsidP="00455D08">
      <w:pPr>
        <w:jc w:val="both"/>
        <w:rPr>
          <w:rFonts w:ascii="Palatino Linotype" w:hAnsi="Palatino Linotype"/>
          <w:b/>
          <w:i/>
          <w:sz w:val="20"/>
          <w:szCs w:val="20"/>
        </w:rPr>
      </w:pPr>
      <w:r>
        <w:rPr>
          <w:rFonts w:ascii="Palatino Linotype" w:hAnsi="Palatino Linotype"/>
          <w:i/>
          <w:sz w:val="20"/>
          <w:szCs w:val="20"/>
        </w:rPr>
        <w:t>Cuando e</w:t>
      </w:r>
      <w:r w:rsidR="00F45A1B" w:rsidRPr="0087153B">
        <w:rPr>
          <w:rFonts w:ascii="Palatino Linotype" w:hAnsi="Palatino Linotype"/>
          <w:i/>
          <w:sz w:val="20"/>
          <w:szCs w:val="20"/>
        </w:rPr>
        <w:t>l ejercicio en el que deb</w:t>
      </w:r>
      <w:r w:rsidR="00455D08">
        <w:rPr>
          <w:rFonts w:ascii="Palatino Linotype" w:hAnsi="Palatino Linotype"/>
          <w:i/>
          <w:sz w:val="20"/>
          <w:szCs w:val="20"/>
        </w:rPr>
        <w:t>a</w:t>
      </w:r>
      <w:r w:rsidR="00F45A1B" w:rsidRPr="0087153B">
        <w:rPr>
          <w:rFonts w:ascii="Palatino Linotype" w:hAnsi="Palatino Linotype"/>
          <w:i/>
          <w:sz w:val="20"/>
          <w:szCs w:val="20"/>
        </w:rPr>
        <w:t xml:space="preserve"> categorizarse el ente como Pequeño o Mediano se encuentra en curso y si bien no ha podido determinarse la categoría al inicio</w:t>
      </w:r>
      <w:r w:rsidR="005103B2">
        <w:rPr>
          <w:rFonts w:ascii="Palatino Linotype" w:hAnsi="Palatino Linotype"/>
          <w:i/>
          <w:sz w:val="20"/>
          <w:szCs w:val="20"/>
        </w:rPr>
        <w:t xml:space="preserve"> del mismo</w:t>
      </w:r>
      <w:r w:rsidR="00F45A1B" w:rsidRPr="0087153B">
        <w:rPr>
          <w:rFonts w:ascii="Palatino Linotype" w:hAnsi="Palatino Linotype"/>
          <w:i/>
          <w:sz w:val="20"/>
          <w:szCs w:val="20"/>
        </w:rPr>
        <w:t>, porque en virtud del monto de los ingresos del  ejercicio anterior el ente se encontraba en la situación de incertidumbre descripta en la Norma de Aplicación N° 96,  puede ha</w:t>
      </w:r>
      <w:r w:rsidR="00455D08">
        <w:rPr>
          <w:rFonts w:ascii="Palatino Linotype" w:hAnsi="Palatino Linotype"/>
          <w:i/>
          <w:sz w:val="20"/>
          <w:szCs w:val="20"/>
        </w:rPr>
        <w:t>c</w:t>
      </w:r>
      <w:r w:rsidR="005103B2">
        <w:rPr>
          <w:rFonts w:ascii="Palatino Linotype" w:hAnsi="Palatino Linotype"/>
          <w:i/>
          <w:sz w:val="20"/>
          <w:szCs w:val="20"/>
        </w:rPr>
        <w:t>é</w:t>
      </w:r>
      <w:r w:rsidR="00455D08">
        <w:rPr>
          <w:rFonts w:ascii="Palatino Linotype" w:hAnsi="Palatino Linotype"/>
          <w:i/>
          <w:sz w:val="20"/>
          <w:szCs w:val="20"/>
        </w:rPr>
        <w:t>r</w:t>
      </w:r>
      <w:r w:rsidR="005103B2">
        <w:rPr>
          <w:rFonts w:ascii="Palatino Linotype" w:hAnsi="Palatino Linotype"/>
          <w:i/>
          <w:sz w:val="20"/>
          <w:szCs w:val="20"/>
        </w:rPr>
        <w:t>se</w:t>
      </w:r>
      <w:r w:rsidR="00455D08">
        <w:rPr>
          <w:rFonts w:ascii="Palatino Linotype" w:hAnsi="Palatino Linotype"/>
          <w:i/>
          <w:sz w:val="20"/>
          <w:szCs w:val="20"/>
        </w:rPr>
        <w:t>lo</w:t>
      </w:r>
      <w:r w:rsidR="00F45A1B" w:rsidRPr="0087153B">
        <w:rPr>
          <w:rFonts w:ascii="Palatino Linotype" w:hAnsi="Palatino Linotype"/>
          <w:i/>
          <w:sz w:val="20"/>
          <w:szCs w:val="20"/>
        </w:rPr>
        <w:t xml:space="preserve"> a partir </w:t>
      </w:r>
      <w:r w:rsidR="00455D08" w:rsidRPr="00F45A1B">
        <w:rPr>
          <w:rFonts w:ascii="Palatino Linotype" w:hAnsi="Palatino Linotype"/>
          <w:i/>
          <w:sz w:val="20"/>
          <w:szCs w:val="20"/>
        </w:rPr>
        <w:t xml:space="preserve">de la </w:t>
      </w:r>
      <w:r w:rsidR="00455D08">
        <w:rPr>
          <w:rFonts w:ascii="Palatino Linotype" w:hAnsi="Palatino Linotype"/>
          <w:i/>
          <w:sz w:val="20"/>
          <w:szCs w:val="20"/>
        </w:rPr>
        <w:t>presente aclaración de que se utiliza el IPIM publicado por el INDEC</w:t>
      </w:r>
      <w:r w:rsidR="00455D08" w:rsidRPr="00F45A1B">
        <w:rPr>
          <w:rFonts w:ascii="Palatino Linotype" w:hAnsi="Palatino Linotype"/>
          <w:i/>
          <w:sz w:val="20"/>
          <w:szCs w:val="20"/>
        </w:rPr>
        <w:t>, considera</w:t>
      </w:r>
      <w:r w:rsidR="00455D08">
        <w:rPr>
          <w:rFonts w:ascii="Palatino Linotype" w:hAnsi="Palatino Linotype"/>
          <w:i/>
          <w:sz w:val="20"/>
          <w:szCs w:val="20"/>
        </w:rPr>
        <w:t>ndo</w:t>
      </w:r>
      <w:r w:rsidR="00455D08" w:rsidRPr="00F45A1B">
        <w:rPr>
          <w:rFonts w:ascii="Palatino Linotype" w:hAnsi="Palatino Linotype"/>
          <w:i/>
          <w:sz w:val="20"/>
          <w:szCs w:val="20"/>
        </w:rPr>
        <w:t xml:space="preserve"> a los meses de noviembre y diciembre de 2015 como sin datos</w:t>
      </w:r>
      <w:r w:rsidR="00455D08">
        <w:rPr>
          <w:rFonts w:ascii="Palatino Linotype" w:hAnsi="Palatino Linotype"/>
          <w:i/>
          <w:sz w:val="20"/>
          <w:szCs w:val="20"/>
        </w:rPr>
        <w:t>,</w:t>
      </w:r>
      <w:r w:rsidR="00455D08" w:rsidRPr="00BA2310">
        <w:rPr>
          <w:rFonts w:ascii="Palatino Linotype" w:hAnsi="Palatino Linotype"/>
          <w:b/>
          <w:i/>
          <w:sz w:val="20"/>
          <w:szCs w:val="20"/>
        </w:rPr>
        <w:t xml:space="preserve"> </w:t>
      </w:r>
      <w:r w:rsidR="00F45A1B" w:rsidRPr="00455D08">
        <w:rPr>
          <w:rFonts w:ascii="Palatino Linotype" w:hAnsi="Palatino Linotype"/>
          <w:i/>
          <w:sz w:val="20"/>
          <w:szCs w:val="20"/>
        </w:rPr>
        <w:t>deberán aplicarse en la preparación de los estados contables del ejercicio en curso las normas contables profesionales que correspondan a la categoría del ente determinada con la metodología precedentemente mencionada o, eventualmente, las correspondientes a una categoría de nivel superior, si el ente optare por esto últim</w:t>
      </w:r>
      <w:r w:rsidR="005103B2">
        <w:rPr>
          <w:rFonts w:ascii="Palatino Linotype" w:hAnsi="Palatino Linotype"/>
          <w:i/>
          <w:sz w:val="20"/>
          <w:szCs w:val="20"/>
        </w:rPr>
        <w:t>o</w:t>
      </w:r>
      <w:r w:rsidR="00F45A1B" w:rsidRPr="00455D08">
        <w:rPr>
          <w:rFonts w:ascii="Palatino Linotype" w:hAnsi="Palatino Linotype"/>
          <w:i/>
          <w:sz w:val="20"/>
          <w:szCs w:val="20"/>
        </w:rPr>
        <w:t>.</w:t>
      </w:r>
    </w:p>
    <w:p w:rsidR="00455D08" w:rsidRDefault="00455D08" w:rsidP="00F45A1B">
      <w:pPr>
        <w:pStyle w:val="Prrafodelista"/>
        <w:jc w:val="both"/>
        <w:rPr>
          <w:rFonts w:ascii="Palatino Linotype" w:hAnsi="Palatino Linotype"/>
          <w:i/>
          <w:sz w:val="20"/>
          <w:szCs w:val="20"/>
        </w:rPr>
      </w:pPr>
    </w:p>
    <w:p w:rsidR="00F45A1B" w:rsidRDefault="00455D08" w:rsidP="00455D08">
      <w:pPr>
        <w:pStyle w:val="Prrafodelista"/>
        <w:ind w:left="0"/>
        <w:jc w:val="both"/>
        <w:rPr>
          <w:rFonts w:ascii="Palatino Linotype" w:hAnsi="Palatino Linotype"/>
          <w:i/>
          <w:sz w:val="20"/>
          <w:szCs w:val="20"/>
        </w:rPr>
      </w:pPr>
      <w:r>
        <w:rPr>
          <w:rFonts w:ascii="Palatino Linotype" w:hAnsi="Palatino Linotype"/>
          <w:i/>
          <w:sz w:val="20"/>
          <w:szCs w:val="20"/>
        </w:rPr>
        <w:t xml:space="preserve">Cuando </w:t>
      </w:r>
      <w:r w:rsidR="00F45A1B">
        <w:rPr>
          <w:rFonts w:ascii="Palatino Linotype" w:hAnsi="Palatino Linotype"/>
          <w:i/>
          <w:sz w:val="20"/>
          <w:szCs w:val="20"/>
        </w:rPr>
        <w:t>la aplicación retroactiva</w:t>
      </w:r>
      <w:r w:rsidR="00145717" w:rsidRPr="00145717">
        <w:rPr>
          <w:rFonts w:ascii="Palatino Linotype" w:hAnsi="Palatino Linotype"/>
          <w:i/>
          <w:sz w:val="20"/>
          <w:szCs w:val="20"/>
        </w:rPr>
        <w:t xml:space="preserve"> </w:t>
      </w:r>
      <w:r w:rsidR="00145717">
        <w:rPr>
          <w:rFonts w:ascii="Palatino Linotype" w:hAnsi="Palatino Linotype"/>
          <w:i/>
          <w:sz w:val="20"/>
          <w:szCs w:val="20"/>
        </w:rPr>
        <w:t>de algún o algunos criterios de la norma que corresponda aplicar,</w:t>
      </w:r>
      <w:r w:rsidR="00F45A1B">
        <w:rPr>
          <w:rFonts w:ascii="Palatino Linotype" w:hAnsi="Palatino Linotype"/>
          <w:i/>
          <w:sz w:val="20"/>
          <w:szCs w:val="20"/>
        </w:rPr>
        <w:t xml:space="preserve"> </w:t>
      </w:r>
      <w:r w:rsidR="00145717">
        <w:rPr>
          <w:rFonts w:ascii="Palatino Linotype" w:hAnsi="Palatino Linotype"/>
          <w:i/>
          <w:sz w:val="20"/>
          <w:szCs w:val="20"/>
        </w:rPr>
        <w:t>a las operaciones realizadas con anterioridad a esta aclaración acerca de la metodología a utilizar para la categorización del ente,</w:t>
      </w:r>
      <w:r>
        <w:rPr>
          <w:rFonts w:ascii="Palatino Linotype" w:hAnsi="Palatino Linotype"/>
          <w:i/>
          <w:sz w:val="20"/>
          <w:szCs w:val="20"/>
        </w:rPr>
        <w:t xml:space="preserve"> </w:t>
      </w:r>
      <w:r w:rsidR="00F45A1B">
        <w:rPr>
          <w:rFonts w:ascii="Palatino Linotype" w:hAnsi="Palatino Linotype"/>
          <w:i/>
          <w:sz w:val="20"/>
          <w:szCs w:val="20"/>
        </w:rPr>
        <w:t>no sea factible de llevar a cabo a pesar de efectuar todos los esfuerzos razonables para hacerlo podrá  argüir</w:t>
      </w:r>
      <w:r w:rsidR="00145717">
        <w:rPr>
          <w:rFonts w:ascii="Palatino Linotype" w:hAnsi="Palatino Linotype"/>
          <w:i/>
          <w:sz w:val="20"/>
          <w:szCs w:val="20"/>
        </w:rPr>
        <w:t>se</w:t>
      </w:r>
      <w:r w:rsidR="00F45A1B">
        <w:rPr>
          <w:rFonts w:ascii="Palatino Linotype" w:hAnsi="Palatino Linotype"/>
          <w:i/>
          <w:sz w:val="20"/>
          <w:szCs w:val="20"/>
        </w:rPr>
        <w:t xml:space="preserve"> impracticabilidad.</w:t>
      </w:r>
    </w:p>
    <w:p w:rsidR="00F45A1B" w:rsidRDefault="00F45A1B" w:rsidP="00F45A1B">
      <w:pPr>
        <w:pStyle w:val="Prrafodelista"/>
        <w:jc w:val="both"/>
        <w:rPr>
          <w:rFonts w:ascii="Palatino Linotype" w:hAnsi="Palatino Linotype"/>
          <w:i/>
          <w:sz w:val="20"/>
          <w:szCs w:val="20"/>
        </w:rPr>
      </w:pPr>
    </w:p>
    <w:p w:rsidR="00704C73" w:rsidRDefault="00F45A1B" w:rsidP="000B512B">
      <w:pPr>
        <w:pStyle w:val="Prrafodelista"/>
        <w:ind w:left="0"/>
        <w:jc w:val="both"/>
        <w:rPr>
          <w:rFonts w:ascii="Palatino Linotype" w:hAnsi="Palatino Linotype"/>
          <w:i/>
          <w:sz w:val="20"/>
          <w:szCs w:val="20"/>
        </w:rPr>
      </w:pPr>
      <w:r>
        <w:rPr>
          <w:rFonts w:ascii="Palatino Linotype" w:hAnsi="Palatino Linotype"/>
          <w:i/>
          <w:sz w:val="20"/>
          <w:szCs w:val="20"/>
        </w:rPr>
        <w:t xml:space="preserve">En relación con la aplicación  de la Resolución Técnica N° 17 con las dispensas contenidas en el Anexo A de la Resolución CD N° 3292, cuando el ejercicio contable acaece dentro del período de transición a las normas simplificadas de la RT N° 41 en el cual aún se admite la utilización de las dispensas contenidas en dicho Anexo, </w:t>
      </w:r>
      <w:r w:rsidR="005103B2">
        <w:rPr>
          <w:rFonts w:ascii="Palatino Linotype" w:hAnsi="Palatino Linotype"/>
          <w:i/>
          <w:sz w:val="20"/>
          <w:szCs w:val="20"/>
        </w:rPr>
        <w:t xml:space="preserve">para la categorización del ente </w:t>
      </w:r>
      <w:r>
        <w:rPr>
          <w:rFonts w:ascii="Palatino Linotype" w:hAnsi="Palatino Linotype"/>
          <w:i/>
          <w:sz w:val="20"/>
          <w:szCs w:val="20"/>
        </w:rPr>
        <w:t>deberán seguirse idénticos criterios a l</w:t>
      </w:r>
      <w:r w:rsidR="000B512B">
        <w:rPr>
          <w:rFonts w:ascii="Palatino Linotype" w:hAnsi="Palatino Linotype"/>
          <w:i/>
          <w:sz w:val="20"/>
          <w:szCs w:val="20"/>
        </w:rPr>
        <w:t>os precedentemente expresados.</w:t>
      </w:r>
    </w:p>
    <w:sectPr w:rsidR="00704C73" w:rsidSect="00704C73">
      <w:pgSz w:w="11906" w:h="16838"/>
      <w:pgMar w:top="2694" w:right="1701" w:bottom="283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2B" w:rsidRDefault="000B512B" w:rsidP="000B512B">
      <w:r>
        <w:separator/>
      </w:r>
    </w:p>
  </w:endnote>
  <w:endnote w:type="continuationSeparator" w:id="0">
    <w:p w:rsidR="000B512B" w:rsidRDefault="000B512B" w:rsidP="000B5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2B" w:rsidRDefault="000B512B" w:rsidP="000B512B">
      <w:r>
        <w:separator/>
      </w:r>
    </w:p>
  </w:footnote>
  <w:footnote w:type="continuationSeparator" w:id="0">
    <w:p w:rsidR="000B512B" w:rsidRDefault="000B512B" w:rsidP="000B5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F7197"/>
    <w:multiLevelType w:val="hybridMultilevel"/>
    <w:tmpl w:val="287C78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A6A46ED"/>
    <w:multiLevelType w:val="hybridMultilevel"/>
    <w:tmpl w:val="EBFCBB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B9F14F0"/>
    <w:multiLevelType w:val="hybridMultilevel"/>
    <w:tmpl w:val="DBC480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09B67DE"/>
    <w:multiLevelType w:val="hybridMultilevel"/>
    <w:tmpl w:val="FFBA4A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20A43"/>
    <w:rsid w:val="00020A43"/>
    <w:rsid w:val="000671DA"/>
    <w:rsid w:val="00075907"/>
    <w:rsid w:val="000B512B"/>
    <w:rsid w:val="00113275"/>
    <w:rsid w:val="0012396F"/>
    <w:rsid w:val="00145717"/>
    <w:rsid w:val="0015068B"/>
    <w:rsid w:val="00186AD6"/>
    <w:rsid w:val="001D048A"/>
    <w:rsid w:val="001D56FB"/>
    <w:rsid w:val="001E2B43"/>
    <w:rsid w:val="001E580B"/>
    <w:rsid w:val="001F3A51"/>
    <w:rsid w:val="00204C26"/>
    <w:rsid w:val="00217B15"/>
    <w:rsid w:val="002342B2"/>
    <w:rsid w:val="002437E4"/>
    <w:rsid w:val="002454FC"/>
    <w:rsid w:val="002933DF"/>
    <w:rsid w:val="002B4072"/>
    <w:rsid w:val="002B5612"/>
    <w:rsid w:val="002F2023"/>
    <w:rsid w:val="00341197"/>
    <w:rsid w:val="00342500"/>
    <w:rsid w:val="00353DB0"/>
    <w:rsid w:val="00375D88"/>
    <w:rsid w:val="00381734"/>
    <w:rsid w:val="003834CE"/>
    <w:rsid w:val="00393FD8"/>
    <w:rsid w:val="003F2020"/>
    <w:rsid w:val="003F6733"/>
    <w:rsid w:val="00451F36"/>
    <w:rsid w:val="00455D08"/>
    <w:rsid w:val="00461735"/>
    <w:rsid w:val="004B1287"/>
    <w:rsid w:val="004B1975"/>
    <w:rsid w:val="004E40B9"/>
    <w:rsid w:val="004E4C14"/>
    <w:rsid w:val="0050496C"/>
    <w:rsid w:val="005103B2"/>
    <w:rsid w:val="005B3597"/>
    <w:rsid w:val="005D3FAE"/>
    <w:rsid w:val="005E0305"/>
    <w:rsid w:val="00621868"/>
    <w:rsid w:val="00646445"/>
    <w:rsid w:val="00655783"/>
    <w:rsid w:val="00677F03"/>
    <w:rsid w:val="006B17D3"/>
    <w:rsid w:val="006D3FCB"/>
    <w:rsid w:val="006D74DC"/>
    <w:rsid w:val="00704C73"/>
    <w:rsid w:val="00754A4A"/>
    <w:rsid w:val="00756DA1"/>
    <w:rsid w:val="00787D14"/>
    <w:rsid w:val="007A0F43"/>
    <w:rsid w:val="007B3D29"/>
    <w:rsid w:val="007C18B4"/>
    <w:rsid w:val="007D0610"/>
    <w:rsid w:val="00831189"/>
    <w:rsid w:val="008420C4"/>
    <w:rsid w:val="0084497A"/>
    <w:rsid w:val="0087153B"/>
    <w:rsid w:val="008A7919"/>
    <w:rsid w:val="00906155"/>
    <w:rsid w:val="009628CF"/>
    <w:rsid w:val="00991BB1"/>
    <w:rsid w:val="009A22C4"/>
    <w:rsid w:val="009B2488"/>
    <w:rsid w:val="009F38C1"/>
    <w:rsid w:val="00A015AF"/>
    <w:rsid w:val="00A373ED"/>
    <w:rsid w:val="00A5349F"/>
    <w:rsid w:val="00B02DAC"/>
    <w:rsid w:val="00B23366"/>
    <w:rsid w:val="00B37DB3"/>
    <w:rsid w:val="00B61A47"/>
    <w:rsid w:val="00B718E9"/>
    <w:rsid w:val="00B73D12"/>
    <w:rsid w:val="00BB23ED"/>
    <w:rsid w:val="00BD151B"/>
    <w:rsid w:val="00BF1F76"/>
    <w:rsid w:val="00C05182"/>
    <w:rsid w:val="00C30ACD"/>
    <w:rsid w:val="00C60304"/>
    <w:rsid w:val="00CD502B"/>
    <w:rsid w:val="00CE5B4D"/>
    <w:rsid w:val="00D113A0"/>
    <w:rsid w:val="00D42980"/>
    <w:rsid w:val="00D76757"/>
    <w:rsid w:val="00E12E45"/>
    <w:rsid w:val="00E85256"/>
    <w:rsid w:val="00E9101B"/>
    <w:rsid w:val="00EE7D88"/>
    <w:rsid w:val="00F331EB"/>
    <w:rsid w:val="00F362E3"/>
    <w:rsid w:val="00F40DA8"/>
    <w:rsid w:val="00F45A1B"/>
    <w:rsid w:val="00F66F14"/>
    <w:rsid w:val="00F73E8E"/>
    <w:rsid w:val="00FB4A9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04C73"/>
    <w:pPr>
      <w:keepNext/>
      <w:overflowPunct w:val="0"/>
      <w:autoSpaceDE w:val="0"/>
      <w:autoSpaceDN w:val="0"/>
      <w:adjustRightInd w:val="0"/>
      <w:jc w:val="center"/>
      <w:outlineLvl w:val="0"/>
    </w:pPr>
    <w:rPr>
      <w:rFonts w:ascii="Palatino Linotype" w:hAnsi="Palatino Linotype"/>
      <w:b/>
      <w:i/>
      <w:sz w:val="20"/>
      <w:szCs w:val="20"/>
      <w:u w:val="single"/>
    </w:rPr>
  </w:style>
  <w:style w:type="paragraph" w:styleId="Ttulo3">
    <w:name w:val="heading 3"/>
    <w:basedOn w:val="Normal"/>
    <w:next w:val="Normal"/>
    <w:link w:val="Ttulo3Car"/>
    <w:qFormat/>
    <w:rsid w:val="00704C73"/>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F38C1"/>
  </w:style>
  <w:style w:type="paragraph" w:styleId="Prrafodelista">
    <w:name w:val="List Paragraph"/>
    <w:basedOn w:val="Normal"/>
    <w:uiPriority w:val="34"/>
    <w:qFormat/>
    <w:rsid w:val="00D76757"/>
    <w:pPr>
      <w:ind w:left="720"/>
      <w:contextualSpacing/>
    </w:pPr>
  </w:style>
  <w:style w:type="character" w:styleId="Hipervnculo">
    <w:name w:val="Hyperlink"/>
    <w:basedOn w:val="Fuentedeprrafopredeter"/>
    <w:uiPriority w:val="99"/>
    <w:unhideWhenUsed/>
    <w:rsid w:val="005E0305"/>
    <w:rPr>
      <w:color w:val="0000FF" w:themeColor="hyperlink"/>
      <w:u w:val="single"/>
    </w:rPr>
  </w:style>
  <w:style w:type="paragraph" w:styleId="NormalWeb">
    <w:name w:val="Normal (Web)"/>
    <w:basedOn w:val="Normal"/>
    <w:uiPriority w:val="99"/>
    <w:semiHidden/>
    <w:unhideWhenUsed/>
    <w:rsid w:val="005E0305"/>
    <w:pPr>
      <w:spacing w:before="100" w:beforeAutospacing="1" w:after="100" w:afterAutospacing="1"/>
    </w:pPr>
    <w:rPr>
      <w:lang w:val="es-AR" w:eastAsia="es-AR"/>
    </w:rPr>
  </w:style>
  <w:style w:type="character" w:customStyle="1" w:styleId="resumen">
    <w:name w:val="resumen"/>
    <w:basedOn w:val="Fuentedeprrafopredeter"/>
    <w:rsid w:val="005E0305"/>
  </w:style>
  <w:style w:type="paragraph" w:customStyle="1" w:styleId="epigrafe">
    <w:name w:val="epigrafe"/>
    <w:basedOn w:val="Normal"/>
    <w:rsid w:val="005E0305"/>
    <w:pPr>
      <w:spacing w:before="100" w:beforeAutospacing="1" w:after="100" w:afterAutospacing="1"/>
    </w:pPr>
    <w:rPr>
      <w:lang w:val="es-AR" w:eastAsia="es-AR"/>
    </w:rPr>
  </w:style>
  <w:style w:type="character" w:customStyle="1" w:styleId="detalle">
    <w:name w:val="detalle"/>
    <w:basedOn w:val="Fuentedeprrafopredeter"/>
    <w:rsid w:val="005E0305"/>
  </w:style>
  <w:style w:type="paragraph" w:styleId="Textodeglobo">
    <w:name w:val="Balloon Text"/>
    <w:basedOn w:val="Normal"/>
    <w:link w:val="TextodegloboCar"/>
    <w:uiPriority w:val="99"/>
    <w:semiHidden/>
    <w:unhideWhenUsed/>
    <w:rsid w:val="005E030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305"/>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704C73"/>
    <w:rPr>
      <w:rFonts w:ascii="Palatino Linotype" w:eastAsia="Times New Roman" w:hAnsi="Palatino Linotype" w:cs="Times New Roman"/>
      <w:b/>
      <w:i/>
      <w:sz w:val="20"/>
      <w:szCs w:val="20"/>
      <w:u w:val="single"/>
      <w:lang w:val="es-ES" w:eastAsia="es-ES"/>
    </w:rPr>
  </w:style>
  <w:style w:type="character" w:customStyle="1" w:styleId="Ttulo3Car">
    <w:name w:val="Título 3 Car"/>
    <w:basedOn w:val="Fuentedeprrafopredeter"/>
    <w:link w:val="Ttulo3"/>
    <w:rsid w:val="00704C73"/>
    <w:rPr>
      <w:rFonts w:ascii="Arial" w:eastAsia="Times New Roman" w:hAnsi="Arial" w:cs="Arial"/>
      <w:b/>
      <w:bCs/>
      <w:sz w:val="26"/>
      <w:szCs w:val="26"/>
      <w:lang w:val="es-ES_tradnl" w:eastAsia="es-ES"/>
    </w:rPr>
  </w:style>
  <w:style w:type="paragraph" w:customStyle="1" w:styleId="Textodebloque1">
    <w:name w:val="Texto de bloque1"/>
    <w:basedOn w:val="Normal"/>
    <w:rsid w:val="00704C73"/>
    <w:pPr>
      <w:overflowPunct w:val="0"/>
      <w:autoSpaceDE w:val="0"/>
      <w:autoSpaceDN w:val="0"/>
      <w:adjustRightInd w:val="0"/>
      <w:ind w:left="180" w:right="360"/>
      <w:jc w:val="both"/>
    </w:pPr>
    <w:rPr>
      <w:rFonts w:ascii="Palatino Linotype" w:hAnsi="Palatino Linotype"/>
      <w:i/>
      <w:sz w:val="20"/>
      <w:szCs w:val="20"/>
    </w:rPr>
  </w:style>
  <w:style w:type="paragraph" w:styleId="Encabezado">
    <w:name w:val="header"/>
    <w:basedOn w:val="Normal"/>
    <w:link w:val="EncabezadoCar"/>
    <w:uiPriority w:val="99"/>
    <w:semiHidden/>
    <w:unhideWhenUsed/>
    <w:rsid w:val="000B512B"/>
    <w:pPr>
      <w:tabs>
        <w:tab w:val="center" w:pos="4252"/>
        <w:tab w:val="right" w:pos="8504"/>
      </w:tabs>
    </w:pPr>
  </w:style>
  <w:style w:type="character" w:customStyle="1" w:styleId="EncabezadoCar">
    <w:name w:val="Encabezado Car"/>
    <w:basedOn w:val="Fuentedeprrafopredeter"/>
    <w:link w:val="Encabezado"/>
    <w:uiPriority w:val="99"/>
    <w:semiHidden/>
    <w:rsid w:val="000B512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0B512B"/>
    <w:pPr>
      <w:tabs>
        <w:tab w:val="center" w:pos="4252"/>
        <w:tab w:val="right" w:pos="8504"/>
      </w:tabs>
    </w:pPr>
  </w:style>
  <w:style w:type="character" w:customStyle="1" w:styleId="PiedepginaCar">
    <w:name w:val="Pie de página Car"/>
    <w:basedOn w:val="Fuentedeprrafopredeter"/>
    <w:link w:val="Piedepgina"/>
    <w:uiPriority w:val="99"/>
    <w:semiHidden/>
    <w:rsid w:val="000B512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035697450">
      <w:bodyDiv w:val="1"/>
      <w:marLeft w:val="0"/>
      <w:marRight w:val="0"/>
      <w:marTop w:val="0"/>
      <w:marBottom w:val="0"/>
      <w:divBdr>
        <w:top w:val="none" w:sz="0" w:space="0" w:color="auto"/>
        <w:left w:val="none" w:sz="0" w:space="0" w:color="auto"/>
        <w:bottom w:val="none" w:sz="0" w:space="0" w:color="auto"/>
        <w:right w:val="none" w:sz="0" w:space="0" w:color="auto"/>
      </w:divBdr>
      <w:divsChild>
        <w:div w:id="472646651">
          <w:marLeft w:val="0"/>
          <w:marRight w:val="0"/>
          <w:marTop w:val="0"/>
          <w:marBottom w:val="0"/>
          <w:divBdr>
            <w:top w:val="none" w:sz="0" w:space="0" w:color="auto"/>
            <w:left w:val="none" w:sz="0" w:space="0" w:color="auto"/>
            <w:bottom w:val="none" w:sz="0" w:space="0" w:color="auto"/>
            <w:right w:val="none" w:sz="0" w:space="0" w:color="auto"/>
          </w:divBdr>
        </w:div>
        <w:div w:id="1118986719">
          <w:marLeft w:val="200"/>
          <w:marRight w:val="0"/>
          <w:marTop w:val="0"/>
          <w:marBottom w:val="0"/>
          <w:divBdr>
            <w:top w:val="none" w:sz="0" w:space="0" w:color="auto"/>
            <w:left w:val="none" w:sz="0" w:space="0" w:color="auto"/>
            <w:bottom w:val="none" w:sz="0" w:space="0" w:color="auto"/>
            <w:right w:val="none" w:sz="0" w:space="0" w:color="auto"/>
          </w:divBdr>
        </w:div>
      </w:divsChild>
    </w:div>
    <w:div w:id="1708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016BC-A143-44AF-9BFF-D898E05CE12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4CB0AB17-DF68-414C-B94D-D634F64AF409}">
  <ds:schemaRefs>
    <ds:schemaRef ds:uri="http://schemas.microsoft.com/sharepoint/v3/contenttype/forms"/>
  </ds:schemaRefs>
</ds:datastoreItem>
</file>

<file path=customXml/itemProps3.xml><?xml version="1.0" encoding="utf-8"?>
<ds:datastoreItem xmlns:ds="http://schemas.openxmlformats.org/officeDocument/2006/customXml" ds:itemID="{C3CB0CEB-07B5-4C3B-AE49-C8CE87367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A65FBE-BE1F-4536-B594-17A463A3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guido.garcia</dc:creator>
  <cp:lastModifiedBy>Agustina.Valsecchi</cp:lastModifiedBy>
  <cp:revision>2</cp:revision>
  <cp:lastPrinted>2016-09-14T15:51:00Z</cp:lastPrinted>
  <dcterms:created xsi:type="dcterms:W3CDTF">2016-09-14T19:26:00Z</dcterms:created>
  <dcterms:modified xsi:type="dcterms:W3CDTF">2016-09-14T19:26:00Z</dcterms:modified>
</cp:coreProperties>
</file>