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1A" w:rsidRDefault="00992F4C" w:rsidP="00AA3BF5">
      <w:pPr>
        <w:pStyle w:val="Prrafodelista"/>
        <w:jc w:val="center"/>
        <w:rPr>
          <w:rFonts w:ascii="Palatino Linotype" w:hAnsi="Palatino Linotype"/>
          <w:b/>
          <w:i/>
          <w:sz w:val="18"/>
          <w:szCs w:val="18"/>
          <w:u w:val="single"/>
        </w:rPr>
      </w:pPr>
      <w:r>
        <w:rPr>
          <w:rFonts w:ascii="Palatino Linotype" w:hAnsi="Palatino Linotype"/>
          <w:b/>
          <w:i/>
          <w:sz w:val="18"/>
          <w:szCs w:val="18"/>
          <w:u w:val="single"/>
        </w:rPr>
        <w:t xml:space="preserve">Tabla de </w:t>
      </w:r>
      <w:r w:rsidRPr="00992F4C">
        <w:rPr>
          <w:rFonts w:ascii="Palatino Linotype" w:hAnsi="Palatino Linotype"/>
          <w:b/>
          <w:i/>
          <w:sz w:val="18"/>
          <w:szCs w:val="18"/>
          <w:u w:val="single"/>
        </w:rPr>
        <w:t>Modelos de Informe del Auditor</w:t>
      </w:r>
      <w:r>
        <w:rPr>
          <w:rFonts w:ascii="Palatino Linotype" w:hAnsi="Palatino Linotype"/>
          <w:b/>
          <w:i/>
          <w:sz w:val="18"/>
          <w:szCs w:val="18"/>
          <w:u w:val="single"/>
        </w:rPr>
        <w:t>,</w:t>
      </w:r>
      <w:r w:rsidRPr="00992F4C">
        <w:rPr>
          <w:rFonts w:ascii="Palatino Linotype" w:hAnsi="Palatino Linotype"/>
          <w:b/>
          <w:i/>
          <w:sz w:val="18"/>
          <w:szCs w:val="18"/>
          <w:u w:val="single"/>
        </w:rPr>
        <w:t xml:space="preserve"> emitidos con posterioridad a los efectos generados por las medidas de aislamiento social preventivo y obligator</w:t>
      </w:r>
      <w:r>
        <w:rPr>
          <w:rFonts w:ascii="Palatino Linotype" w:hAnsi="Palatino Linotype"/>
          <w:b/>
          <w:i/>
          <w:sz w:val="18"/>
          <w:szCs w:val="18"/>
          <w:u w:val="single"/>
        </w:rPr>
        <w:t>io y de prohibición de circular,</w:t>
      </w:r>
      <w:r w:rsidRPr="00992F4C">
        <w:rPr>
          <w:rFonts w:ascii="Palatino Linotype" w:hAnsi="Palatino Linotype"/>
          <w:b/>
          <w:i/>
          <w:sz w:val="18"/>
          <w:szCs w:val="18"/>
          <w:u w:val="single"/>
        </w:rPr>
        <w:t xml:space="preserve"> sobre </w:t>
      </w:r>
      <w:r>
        <w:rPr>
          <w:rFonts w:ascii="Palatino Linotype" w:hAnsi="Palatino Linotype"/>
          <w:b/>
          <w:i/>
          <w:sz w:val="18"/>
          <w:szCs w:val="18"/>
          <w:u w:val="single"/>
        </w:rPr>
        <w:t>E</w:t>
      </w:r>
      <w:r w:rsidRPr="00992F4C">
        <w:rPr>
          <w:rFonts w:ascii="Palatino Linotype" w:hAnsi="Palatino Linotype"/>
          <w:b/>
          <w:i/>
          <w:sz w:val="18"/>
          <w:szCs w:val="18"/>
          <w:u w:val="single"/>
        </w:rPr>
        <w:t xml:space="preserve">stados </w:t>
      </w:r>
      <w:r>
        <w:rPr>
          <w:rFonts w:ascii="Palatino Linotype" w:hAnsi="Palatino Linotype"/>
          <w:b/>
          <w:i/>
          <w:sz w:val="18"/>
          <w:szCs w:val="18"/>
          <w:u w:val="single"/>
        </w:rPr>
        <w:t>C</w:t>
      </w:r>
      <w:r w:rsidRPr="00992F4C">
        <w:rPr>
          <w:rFonts w:ascii="Palatino Linotype" w:hAnsi="Palatino Linotype"/>
          <w:b/>
          <w:i/>
          <w:sz w:val="18"/>
          <w:szCs w:val="18"/>
          <w:u w:val="single"/>
        </w:rPr>
        <w:t>ontables cerrados hasta el 11 de marzo de 2020</w:t>
      </w:r>
    </w:p>
    <w:p w:rsidR="00992F4C" w:rsidRDefault="00992F4C" w:rsidP="00AA3BF5">
      <w:pPr>
        <w:pStyle w:val="Prrafodelista"/>
        <w:jc w:val="center"/>
        <w:rPr>
          <w:rFonts w:ascii="Palatino Linotype" w:hAnsi="Palatino Linotype"/>
          <w:b/>
          <w:i/>
          <w:sz w:val="18"/>
          <w:szCs w:val="18"/>
          <w:u w:val="single"/>
        </w:rPr>
      </w:pPr>
    </w:p>
    <w:tbl>
      <w:tblPr>
        <w:tblStyle w:val="Tablaconcuadrcula"/>
        <w:tblW w:w="9356" w:type="dxa"/>
        <w:tblInd w:w="-176" w:type="dxa"/>
        <w:tblLook w:val="04A0" w:firstRow="1" w:lastRow="0" w:firstColumn="1" w:lastColumn="0" w:noHBand="0" w:noVBand="1"/>
      </w:tblPr>
      <w:tblGrid>
        <w:gridCol w:w="6901"/>
        <w:gridCol w:w="2455"/>
      </w:tblGrid>
      <w:tr w:rsidR="0014401A" w:rsidTr="009334F1">
        <w:tc>
          <w:tcPr>
            <w:tcW w:w="6901" w:type="dxa"/>
          </w:tcPr>
          <w:p w:rsidR="0014401A" w:rsidRDefault="00D646B3" w:rsidP="00D646B3">
            <w:pPr>
              <w:pStyle w:val="Prrafodelista"/>
              <w:ind w:left="0"/>
              <w:jc w:val="both"/>
              <w:rPr>
                <w:rFonts w:cstheme="minorHAnsi"/>
                <w:sz w:val="16"/>
                <w:szCs w:val="16"/>
              </w:rPr>
            </w:pPr>
            <w:r w:rsidRPr="002555B9">
              <w:rPr>
                <w:b/>
                <w:sz w:val="16"/>
                <w:szCs w:val="16"/>
                <w:u w:val="single"/>
              </w:rPr>
              <w:t>CASO</w:t>
            </w:r>
            <w:r>
              <w:rPr>
                <w:b/>
                <w:sz w:val="16"/>
                <w:szCs w:val="16"/>
                <w:u w:val="single"/>
              </w:rPr>
              <w:t xml:space="preserve"> (*)</w:t>
            </w:r>
            <w:r w:rsidRPr="002555B9">
              <w:rPr>
                <w:b/>
                <w:sz w:val="16"/>
                <w:szCs w:val="16"/>
                <w:u w:val="single"/>
              </w:rPr>
              <w:t>:</w:t>
            </w:r>
            <w:r w:rsidRPr="00D646B3">
              <w:rPr>
                <w:b/>
                <w:sz w:val="16"/>
                <w:szCs w:val="16"/>
              </w:rPr>
              <w:t xml:space="preserve"> </w:t>
            </w:r>
            <w:r w:rsidRPr="00D646B3">
              <w:rPr>
                <w:rFonts w:cstheme="minorHAnsi"/>
                <w:sz w:val="16"/>
                <w:szCs w:val="16"/>
              </w:rPr>
              <w:t xml:space="preserve">Los administradores de la entidad estiman que </w:t>
            </w:r>
            <w:r w:rsidR="00D75BD4">
              <w:rPr>
                <w:rFonts w:cstheme="minorHAnsi"/>
                <w:sz w:val="16"/>
                <w:szCs w:val="16"/>
              </w:rPr>
              <w:t>la pandemia COVID 19 y las medidas adoptadas para su contención</w:t>
            </w:r>
            <w:r w:rsidRPr="00D646B3">
              <w:rPr>
                <w:rFonts w:cstheme="minorHAnsi"/>
                <w:sz w:val="16"/>
                <w:szCs w:val="16"/>
              </w:rPr>
              <w:t xml:space="preserve"> no tendrá</w:t>
            </w:r>
            <w:r w:rsidR="00D75BD4">
              <w:rPr>
                <w:rFonts w:cstheme="minorHAnsi"/>
                <w:sz w:val="16"/>
                <w:szCs w:val="16"/>
              </w:rPr>
              <w:t>n</w:t>
            </w:r>
            <w:r w:rsidRPr="00D646B3">
              <w:rPr>
                <w:rFonts w:cstheme="minorHAnsi"/>
                <w:sz w:val="16"/>
                <w:szCs w:val="16"/>
              </w:rPr>
              <w:t xml:space="preserve"> un impacto adverso y significativo sobre las operaciones de la entidad. Sin embargo, la evolución futura del COVID-19 es muy incierta y no puede predecirse, al igual que las medidas necesarias para contenerlo o tratar su impacto, y, por lo tanto, los resultados, desarrollos y decisiones comerciales reales pueden diferir de los previstos en la declaración prospectiva de los administradores sobre el impacto del COVID-19 en las operaciones de la entidad.</w:t>
            </w:r>
            <w:r w:rsidR="00DD2063">
              <w:t xml:space="preserve"> </w:t>
            </w:r>
            <w:r w:rsidR="00DD2063">
              <w:rPr>
                <w:rFonts w:cstheme="minorHAnsi"/>
                <w:sz w:val="16"/>
                <w:szCs w:val="16"/>
              </w:rPr>
              <w:t>E</w:t>
            </w:r>
            <w:r w:rsidR="00DD2063" w:rsidRPr="00DD2063">
              <w:rPr>
                <w:rFonts w:cstheme="minorHAnsi"/>
                <w:sz w:val="16"/>
                <w:szCs w:val="16"/>
              </w:rPr>
              <w:t>l contador podrá incluir en su informe de auditoría un párrafo de énfasis dirigiendo la atención de los usuarios de su informe a la nota correspondiente que describa la situación.</w:t>
            </w:r>
          </w:p>
          <w:p w:rsidR="009334F1" w:rsidRDefault="009334F1" w:rsidP="00D646B3">
            <w:pPr>
              <w:pStyle w:val="Prrafodelista"/>
              <w:ind w:left="0"/>
              <w:jc w:val="both"/>
              <w:rPr>
                <w:rFonts w:cstheme="minorHAnsi"/>
                <w:sz w:val="16"/>
                <w:szCs w:val="16"/>
              </w:rPr>
            </w:pPr>
          </w:p>
          <w:p w:rsidR="00D646B3" w:rsidRDefault="00D646B3" w:rsidP="00D646B3">
            <w:pPr>
              <w:pStyle w:val="Prrafodelista"/>
              <w:ind w:left="0"/>
              <w:jc w:val="both"/>
              <w:rPr>
                <w:rFonts w:cstheme="minorHAnsi"/>
                <w:b/>
                <w:sz w:val="16"/>
                <w:szCs w:val="16"/>
              </w:rPr>
            </w:pPr>
            <w:r w:rsidRPr="00D646B3">
              <w:rPr>
                <w:rFonts w:cstheme="minorHAnsi"/>
                <w:b/>
                <w:sz w:val="16"/>
                <w:szCs w:val="16"/>
              </w:rPr>
              <w:t>(*) Modelo de Informe de Auditoría no contenido en la Guía de Aplicación de Normas de Contabilidad y Auditoría frente a los efectos del COVID 19.</w:t>
            </w:r>
          </w:p>
          <w:p w:rsidR="009334F1" w:rsidRPr="00D646B3" w:rsidRDefault="009334F1" w:rsidP="00D646B3">
            <w:pPr>
              <w:pStyle w:val="Prrafodelista"/>
              <w:ind w:left="0"/>
              <w:jc w:val="both"/>
              <w:rPr>
                <w:rFonts w:ascii="Palatino Linotype" w:hAnsi="Palatino Linotype"/>
                <w:b/>
                <w:i/>
                <w:sz w:val="18"/>
                <w:szCs w:val="18"/>
                <w:u w:val="single"/>
              </w:rPr>
            </w:pPr>
          </w:p>
        </w:tc>
        <w:tc>
          <w:tcPr>
            <w:tcW w:w="2455" w:type="dxa"/>
            <w:vAlign w:val="center"/>
          </w:tcPr>
          <w:p w:rsidR="00D646B3" w:rsidRPr="00532940" w:rsidRDefault="00532940" w:rsidP="009334F1">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"https://www.cpba.com.ar/images/Consejo/Modelo_0.doc"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D646B3" w:rsidRPr="00532940">
              <w:rPr>
                <w:rStyle w:val="Hipervnculo"/>
                <w:rFonts w:ascii="Palatino Linotype" w:hAnsi="Palatino Linotype"/>
                <w:b/>
                <w:i/>
                <w:sz w:val="18"/>
                <w:szCs w:val="18"/>
              </w:rPr>
              <w:t>Ver</w:t>
            </w:r>
          </w:p>
          <w:p w:rsidR="00D646B3" w:rsidRDefault="00D646B3" w:rsidP="009334F1">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14401A" w:rsidRDefault="00D646B3" w:rsidP="009334F1">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CPCEPBA)</w:t>
            </w:r>
          </w:p>
          <w:p w:rsidR="00D646B3" w:rsidRPr="00D646B3" w:rsidRDefault="00D646B3" w:rsidP="009334F1">
            <w:pPr>
              <w:pStyle w:val="Prrafodelista"/>
              <w:ind w:left="0"/>
              <w:jc w:val="center"/>
              <w:rPr>
                <w:rFonts w:ascii="Palatino Linotype" w:hAnsi="Palatino Linotype"/>
                <w:b/>
                <w:i/>
                <w:sz w:val="16"/>
                <w:szCs w:val="16"/>
              </w:rPr>
            </w:pPr>
          </w:p>
        </w:tc>
      </w:tr>
      <w:tr w:rsidR="0014401A" w:rsidTr="002555B9">
        <w:tc>
          <w:tcPr>
            <w:tcW w:w="6901" w:type="dxa"/>
          </w:tcPr>
          <w:p w:rsidR="0014401A" w:rsidRDefault="002555B9" w:rsidP="002555B9">
            <w:pPr>
              <w:pStyle w:val="Prrafodelista"/>
              <w:ind w:left="0"/>
              <w:jc w:val="both"/>
              <w:rPr>
                <w:sz w:val="16"/>
                <w:szCs w:val="16"/>
              </w:rPr>
            </w:pPr>
            <w:r w:rsidRPr="002555B9">
              <w:rPr>
                <w:b/>
                <w:sz w:val="16"/>
                <w:szCs w:val="16"/>
                <w:u w:val="single"/>
              </w:rPr>
              <w:t>CASO</w:t>
            </w:r>
            <w:r w:rsidR="0032357C">
              <w:rPr>
                <w:b/>
                <w:sz w:val="16"/>
                <w:szCs w:val="16"/>
                <w:u w:val="single"/>
              </w:rPr>
              <w:t xml:space="preserve"> 1</w:t>
            </w:r>
            <w:r w:rsidRPr="002555B9">
              <w:rPr>
                <w:b/>
                <w:sz w:val="16"/>
                <w:szCs w:val="16"/>
                <w:u w:val="single"/>
              </w:rPr>
              <w:t>:</w:t>
            </w:r>
            <w:r>
              <w:rPr>
                <w:sz w:val="16"/>
                <w:szCs w:val="16"/>
              </w:rPr>
              <w:t xml:space="preserve"> </w:t>
            </w:r>
            <w:r w:rsidRPr="002555B9">
              <w:rPr>
                <w:sz w:val="16"/>
                <w:szCs w:val="16"/>
              </w:rPr>
              <w:t>Si no existiera una incertidumbre significativa con respecto a la capacidad de la entidad para continuar como una empresa en marcha, pero la pandemia ha impactado o impactará negativamente sobre los negocios de la entidad de forma significativa, el contador podrá incluir en su informe de auditoría un párrafo de énfasis dirigiendo la atención de los usuarios de su informe a la nota correspondiente que describa la situación y sus efectos.</w:t>
            </w:r>
          </w:p>
          <w:p w:rsidR="002555B9" w:rsidRPr="002555B9" w:rsidRDefault="002555B9" w:rsidP="002555B9">
            <w:pPr>
              <w:pStyle w:val="Prrafodelista"/>
              <w:ind w:left="0"/>
              <w:jc w:val="both"/>
              <w:rPr>
                <w:rFonts w:ascii="Palatino Linotype" w:hAnsi="Palatino Linotype"/>
                <w:b/>
                <w:i/>
                <w:sz w:val="16"/>
                <w:szCs w:val="16"/>
                <w:u w:val="single"/>
              </w:rPr>
            </w:pPr>
          </w:p>
        </w:tc>
        <w:tc>
          <w:tcPr>
            <w:tcW w:w="2455" w:type="dxa"/>
            <w:vAlign w:val="center"/>
          </w:tcPr>
          <w:p w:rsidR="0014401A" w:rsidRPr="00532940" w:rsidRDefault="00532940" w:rsidP="002555B9">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"https://www.cpba.com.ar/images/Consejo/Modelo_1.doc"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2555B9" w:rsidRPr="00532940">
              <w:rPr>
                <w:rStyle w:val="Hipervnculo"/>
                <w:rFonts w:ascii="Palatino Linotype" w:hAnsi="Palatino Linotype"/>
                <w:b/>
                <w:i/>
                <w:sz w:val="18"/>
                <w:szCs w:val="18"/>
              </w:rPr>
              <w:t>Ver</w:t>
            </w:r>
          </w:p>
          <w:p w:rsidR="002555B9" w:rsidRDefault="002555B9" w:rsidP="002555B9">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2555B9" w:rsidRPr="002555B9" w:rsidRDefault="002555B9" w:rsidP="002555B9">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2555B9" w:rsidRPr="002555B9" w:rsidRDefault="002555B9" w:rsidP="002555B9">
            <w:pPr>
              <w:pStyle w:val="Prrafodelista"/>
              <w:ind w:left="0"/>
              <w:jc w:val="center"/>
              <w:rPr>
                <w:rFonts w:ascii="Palatino Linotype" w:hAnsi="Palatino Linotype"/>
                <w:b/>
                <w:i/>
                <w:sz w:val="16"/>
                <w:szCs w:val="16"/>
                <w:u w:val="single"/>
              </w:rPr>
            </w:pPr>
            <w:r w:rsidRPr="002555B9">
              <w:rPr>
                <w:rFonts w:ascii="Palatino Linotype" w:hAnsi="Palatino Linotype"/>
                <w:b/>
                <w:i/>
                <w:sz w:val="16"/>
                <w:szCs w:val="16"/>
              </w:rPr>
              <w:t>a normativa CPCEPBA)</w:t>
            </w:r>
          </w:p>
        </w:tc>
      </w:tr>
      <w:tr w:rsidR="0014401A" w:rsidTr="002555B9">
        <w:tc>
          <w:tcPr>
            <w:tcW w:w="6901" w:type="dxa"/>
          </w:tcPr>
          <w:p w:rsidR="0014401A" w:rsidRDefault="002555B9" w:rsidP="002555B9">
            <w:pPr>
              <w:pStyle w:val="Prrafodelista"/>
              <w:ind w:left="0"/>
              <w:jc w:val="both"/>
              <w:rPr>
                <w:sz w:val="16"/>
                <w:szCs w:val="16"/>
              </w:rPr>
            </w:pPr>
            <w:r w:rsidRPr="002555B9">
              <w:rPr>
                <w:b/>
                <w:sz w:val="16"/>
                <w:szCs w:val="16"/>
                <w:u w:val="single"/>
              </w:rPr>
              <w:t>CASO</w:t>
            </w:r>
            <w:r w:rsidR="0032357C">
              <w:rPr>
                <w:b/>
                <w:sz w:val="16"/>
                <w:szCs w:val="16"/>
                <w:u w:val="single"/>
              </w:rPr>
              <w:t xml:space="preserve"> 2</w:t>
            </w:r>
            <w:r w:rsidRPr="002555B9">
              <w:rPr>
                <w:b/>
                <w:sz w:val="16"/>
                <w:szCs w:val="16"/>
                <w:u w:val="single"/>
              </w:rPr>
              <w:t>:</w:t>
            </w:r>
            <w:r>
              <w:rPr>
                <w:sz w:val="16"/>
                <w:szCs w:val="16"/>
              </w:rPr>
              <w:t xml:space="preserve"> </w:t>
            </w:r>
            <w:r w:rsidRPr="002555B9">
              <w:rPr>
                <w:sz w:val="16"/>
                <w:szCs w:val="16"/>
              </w:rPr>
              <w:t>Si no existiera una incertidumbre significativa con respecto a la capacidad de la entidad para continuar como una empresa en marcha, pero la pandemia ha impactado o impactará negativamente sobre los negocios de la entidad de forma significativa, en el caso de que la dirección no haya revelado esta situación en nota a los estados contables, el contador emitirá su opinión de auditoría con una salvedad por falta de exposición.</w:t>
            </w:r>
          </w:p>
          <w:p w:rsidR="002555B9" w:rsidRPr="002555B9" w:rsidRDefault="002555B9" w:rsidP="002555B9">
            <w:pPr>
              <w:pStyle w:val="Prrafodelista"/>
              <w:ind w:left="0"/>
              <w:jc w:val="both"/>
              <w:rPr>
                <w:rFonts w:ascii="Palatino Linotype" w:hAnsi="Palatino Linotype"/>
                <w:b/>
                <w:i/>
                <w:sz w:val="16"/>
                <w:szCs w:val="16"/>
                <w:u w:val="single"/>
              </w:rPr>
            </w:pPr>
          </w:p>
        </w:tc>
        <w:tc>
          <w:tcPr>
            <w:tcW w:w="2455" w:type="dxa"/>
            <w:vAlign w:val="center"/>
          </w:tcPr>
          <w:p w:rsidR="002555B9" w:rsidRPr="00532940" w:rsidRDefault="00532940" w:rsidP="002555B9">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"https://www.cpba.com.ar/images/Consejo/Modelo_2.doc"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2555B9" w:rsidRPr="00532940">
              <w:rPr>
                <w:rStyle w:val="Hipervnculo"/>
                <w:rFonts w:ascii="Palatino Linotype" w:hAnsi="Palatino Linotype"/>
                <w:b/>
                <w:i/>
                <w:sz w:val="18"/>
                <w:szCs w:val="18"/>
              </w:rPr>
              <w:t>Ver</w:t>
            </w:r>
          </w:p>
          <w:p w:rsidR="002555B9" w:rsidRDefault="002555B9" w:rsidP="002555B9">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2555B9" w:rsidRPr="002555B9" w:rsidRDefault="002555B9" w:rsidP="002555B9">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14401A" w:rsidRDefault="002555B9" w:rsidP="002555B9">
            <w:pPr>
              <w:pStyle w:val="Prrafodelista"/>
              <w:ind w:left="0"/>
              <w:jc w:val="center"/>
              <w:rPr>
                <w:rFonts w:ascii="Palatino Linotype" w:hAnsi="Palatino Linotype"/>
                <w:b/>
                <w:i/>
                <w:sz w:val="18"/>
                <w:szCs w:val="18"/>
                <w:u w:val="single"/>
              </w:rPr>
            </w:pPr>
            <w:r w:rsidRPr="002555B9">
              <w:rPr>
                <w:rFonts w:ascii="Palatino Linotype" w:hAnsi="Palatino Linotype"/>
                <w:b/>
                <w:i/>
                <w:sz w:val="16"/>
                <w:szCs w:val="16"/>
              </w:rPr>
              <w:t>a normativa CPCEPBA)</w:t>
            </w:r>
          </w:p>
        </w:tc>
      </w:tr>
      <w:tr w:rsidR="0014401A" w:rsidTr="002555B9">
        <w:tc>
          <w:tcPr>
            <w:tcW w:w="6901" w:type="dxa"/>
          </w:tcPr>
          <w:p w:rsidR="0014401A" w:rsidRPr="002555B9" w:rsidRDefault="002555B9" w:rsidP="002555B9">
            <w:pPr>
              <w:pStyle w:val="Prrafodelista"/>
              <w:ind w:left="0"/>
              <w:jc w:val="both"/>
              <w:rPr>
                <w:rFonts w:ascii="Palatino Linotype" w:hAnsi="Palatino Linotype"/>
                <w:b/>
                <w:i/>
                <w:sz w:val="16"/>
                <w:szCs w:val="16"/>
                <w:u w:val="single"/>
              </w:rPr>
            </w:pPr>
            <w:r w:rsidRPr="002555B9">
              <w:rPr>
                <w:b/>
                <w:sz w:val="16"/>
                <w:szCs w:val="16"/>
                <w:u w:val="single"/>
              </w:rPr>
              <w:t>CASO</w:t>
            </w:r>
            <w:r w:rsidR="0032357C">
              <w:rPr>
                <w:b/>
                <w:sz w:val="16"/>
                <w:szCs w:val="16"/>
                <w:u w:val="single"/>
              </w:rPr>
              <w:t xml:space="preserve"> 3</w:t>
            </w:r>
            <w:r w:rsidRPr="002555B9">
              <w:rPr>
                <w:b/>
                <w:sz w:val="16"/>
                <w:szCs w:val="16"/>
                <w:u w:val="single"/>
              </w:rPr>
              <w:t>:</w:t>
            </w:r>
            <w:r>
              <w:rPr>
                <w:sz w:val="16"/>
                <w:szCs w:val="16"/>
              </w:rPr>
              <w:t xml:space="preserve"> </w:t>
            </w:r>
            <w:r w:rsidRPr="002555B9">
              <w:rPr>
                <w:sz w:val="16"/>
                <w:szCs w:val="16"/>
              </w:rPr>
              <w:t>Si existiera una incertidumbre significativa con respecto a la capacidad de la entidad para continuar como una empresa en marcha dentro del futuro previsible, y la entidad lo ha expuesto adecuadamente en notas, el contador incluirá en su informe de auditoría un párrafo de énfasis referido a tal situación.</w:t>
            </w:r>
          </w:p>
        </w:tc>
        <w:tc>
          <w:tcPr>
            <w:tcW w:w="2455" w:type="dxa"/>
            <w:vAlign w:val="center"/>
          </w:tcPr>
          <w:p w:rsidR="002555B9" w:rsidRPr="00532940" w:rsidRDefault="00532940" w:rsidP="002555B9">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"https://www.cpba.com.ar/images/Consejo/Modelo_3.doc"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2555B9" w:rsidRPr="00532940">
              <w:rPr>
                <w:rStyle w:val="Hipervnculo"/>
                <w:rFonts w:ascii="Palatino Linotype" w:hAnsi="Palatino Linotype"/>
                <w:b/>
                <w:i/>
                <w:sz w:val="18"/>
                <w:szCs w:val="18"/>
              </w:rPr>
              <w:t>Ver</w:t>
            </w:r>
          </w:p>
          <w:p w:rsidR="002555B9" w:rsidRDefault="002555B9" w:rsidP="002555B9">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2555B9" w:rsidRPr="002555B9" w:rsidRDefault="002555B9" w:rsidP="002555B9">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2555B9" w:rsidRPr="002555B9" w:rsidRDefault="002555B9" w:rsidP="002555B9">
            <w:pPr>
              <w:pStyle w:val="Prrafodelista"/>
              <w:ind w:left="0"/>
              <w:jc w:val="center"/>
              <w:rPr>
                <w:rFonts w:ascii="Palatino Linotype" w:hAnsi="Palatino Linotype"/>
                <w:b/>
                <w:i/>
                <w:sz w:val="16"/>
                <w:szCs w:val="16"/>
              </w:rPr>
            </w:pPr>
            <w:r w:rsidRPr="002555B9">
              <w:rPr>
                <w:rFonts w:ascii="Palatino Linotype" w:hAnsi="Palatino Linotype"/>
                <w:b/>
                <w:i/>
                <w:sz w:val="16"/>
                <w:szCs w:val="16"/>
              </w:rPr>
              <w:t>a normativa CPCEPBA)</w:t>
            </w:r>
          </w:p>
        </w:tc>
      </w:tr>
      <w:tr w:rsidR="0014401A" w:rsidTr="002555B9">
        <w:tc>
          <w:tcPr>
            <w:tcW w:w="6901" w:type="dxa"/>
          </w:tcPr>
          <w:p w:rsidR="0014401A" w:rsidRPr="002555B9" w:rsidRDefault="002555B9" w:rsidP="002555B9">
            <w:pPr>
              <w:pStyle w:val="Prrafodelista"/>
              <w:ind w:left="0"/>
              <w:jc w:val="both"/>
              <w:rPr>
                <w:rFonts w:ascii="Palatino Linotype" w:hAnsi="Palatino Linotype"/>
                <w:b/>
                <w:i/>
                <w:sz w:val="16"/>
                <w:szCs w:val="16"/>
                <w:u w:val="single"/>
              </w:rPr>
            </w:pPr>
            <w:r w:rsidRPr="002555B9">
              <w:rPr>
                <w:b/>
                <w:sz w:val="16"/>
                <w:szCs w:val="16"/>
                <w:u w:val="single"/>
              </w:rPr>
              <w:t>CASO</w:t>
            </w:r>
            <w:r w:rsidR="0032357C">
              <w:rPr>
                <w:b/>
                <w:sz w:val="16"/>
                <w:szCs w:val="16"/>
                <w:u w:val="single"/>
              </w:rPr>
              <w:t xml:space="preserve"> 4</w:t>
            </w:r>
            <w:r w:rsidRPr="002555B9">
              <w:rPr>
                <w:b/>
                <w:sz w:val="16"/>
                <w:szCs w:val="16"/>
                <w:u w:val="single"/>
              </w:rPr>
              <w:t>:</w:t>
            </w:r>
            <w:r>
              <w:rPr>
                <w:sz w:val="16"/>
                <w:szCs w:val="16"/>
              </w:rPr>
              <w:t xml:space="preserve"> </w:t>
            </w:r>
            <w:r w:rsidRPr="002555B9">
              <w:rPr>
                <w:sz w:val="16"/>
                <w:szCs w:val="16"/>
              </w:rPr>
              <w:t>Si existiera una incertidumbre significativa con respecto a la capacidad de la entidad para continuar como una empresa en marcha dentro del futuro previsible, y la entidad no lo ha informado adecuadamente en notas, el contador incluirá en su informe de auditoría una salvedad por la falta de exposición de tal situación.</w:t>
            </w:r>
          </w:p>
        </w:tc>
        <w:tc>
          <w:tcPr>
            <w:tcW w:w="2455" w:type="dxa"/>
            <w:vAlign w:val="center"/>
          </w:tcPr>
          <w:p w:rsidR="002555B9" w:rsidRPr="00532940" w:rsidRDefault="00532940" w:rsidP="002555B9">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"https://www.cpba.com.ar/images/Consejo/Modelo_4.doc"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2555B9" w:rsidRPr="00532940">
              <w:rPr>
                <w:rStyle w:val="Hipervnculo"/>
                <w:rFonts w:ascii="Palatino Linotype" w:hAnsi="Palatino Linotype"/>
                <w:b/>
                <w:i/>
                <w:sz w:val="18"/>
                <w:szCs w:val="18"/>
              </w:rPr>
              <w:t>Ver</w:t>
            </w:r>
          </w:p>
          <w:p w:rsidR="002555B9" w:rsidRDefault="002555B9" w:rsidP="002555B9">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2555B9" w:rsidRPr="002555B9" w:rsidRDefault="002555B9" w:rsidP="002555B9">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14401A" w:rsidRDefault="002555B9" w:rsidP="002555B9">
            <w:pPr>
              <w:pStyle w:val="Prrafodelista"/>
              <w:ind w:left="0"/>
              <w:jc w:val="center"/>
              <w:rPr>
                <w:rFonts w:ascii="Palatino Linotype" w:hAnsi="Palatino Linotype"/>
                <w:b/>
                <w:i/>
                <w:sz w:val="18"/>
                <w:szCs w:val="18"/>
                <w:u w:val="single"/>
              </w:rPr>
            </w:pPr>
            <w:r w:rsidRPr="002555B9">
              <w:rPr>
                <w:rFonts w:ascii="Palatino Linotype" w:hAnsi="Palatino Linotype"/>
                <w:b/>
                <w:i/>
                <w:sz w:val="16"/>
                <w:szCs w:val="16"/>
              </w:rPr>
              <w:t>a normativa CPCEPBA)</w:t>
            </w:r>
          </w:p>
        </w:tc>
      </w:tr>
      <w:tr w:rsidR="0014401A" w:rsidTr="002555B9">
        <w:tc>
          <w:tcPr>
            <w:tcW w:w="6901" w:type="dxa"/>
          </w:tcPr>
          <w:p w:rsidR="0014401A" w:rsidRDefault="00A348E6" w:rsidP="00A348E6">
            <w:pPr>
              <w:pStyle w:val="Prrafodelista"/>
              <w:ind w:left="0"/>
              <w:jc w:val="both"/>
              <w:rPr>
                <w:sz w:val="16"/>
                <w:szCs w:val="16"/>
              </w:rPr>
            </w:pPr>
            <w:r w:rsidRPr="002555B9">
              <w:rPr>
                <w:b/>
                <w:sz w:val="16"/>
                <w:szCs w:val="16"/>
                <w:u w:val="single"/>
              </w:rPr>
              <w:t>CASO</w:t>
            </w:r>
            <w:r w:rsidR="0032357C">
              <w:rPr>
                <w:b/>
                <w:sz w:val="16"/>
                <w:szCs w:val="16"/>
                <w:u w:val="single"/>
              </w:rPr>
              <w:t xml:space="preserve"> 5</w:t>
            </w:r>
            <w:r w:rsidRPr="002555B9">
              <w:rPr>
                <w:b/>
                <w:sz w:val="16"/>
                <w:szCs w:val="16"/>
                <w:u w:val="single"/>
              </w:rPr>
              <w:t>:</w:t>
            </w:r>
            <w:r>
              <w:rPr>
                <w:sz w:val="16"/>
                <w:szCs w:val="16"/>
              </w:rPr>
              <w:t xml:space="preserve"> </w:t>
            </w:r>
            <w:r w:rsidRPr="00A348E6">
              <w:rPr>
                <w:sz w:val="16"/>
                <w:szCs w:val="16"/>
              </w:rPr>
              <w:t>Si no existieran elementos de juicio válidos y suficientes de que la entidad tiene capacidad para continuar como una empresa en marcha dentro del futuro previsible y, consecuentemente, la entidad no ha aplicado normas contables correspondientes a una empresa que está en funcionamiento, sino que ha usado criterios basados en una hipótesis de empresa que ha dejado de estar en marcha, la opinión del contador será favorable. En este caso, el contador debe agregar un párrafo de énfasis que haga hincapié en la nota sobre la base contable empleada.</w:t>
            </w:r>
          </w:p>
          <w:p w:rsidR="005918FC" w:rsidRPr="00A348E6" w:rsidRDefault="005918FC" w:rsidP="00A348E6">
            <w:pPr>
              <w:pStyle w:val="Prrafodelista"/>
              <w:ind w:left="0"/>
              <w:jc w:val="both"/>
              <w:rPr>
                <w:rFonts w:ascii="Palatino Linotype" w:hAnsi="Palatino Linotype"/>
                <w:b/>
                <w:i/>
                <w:sz w:val="16"/>
                <w:szCs w:val="16"/>
                <w:u w:val="single"/>
              </w:rPr>
            </w:pPr>
          </w:p>
        </w:tc>
        <w:tc>
          <w:tcPr>
            <w:tcW w:w="2455" w:type="dxa"/>
            <w:vAlign w:val="center"/>
          </w:tcPr>
          <w:p w:rsidR="00A348E6" w:rsidRPr="00532940" w:rsidRDefault="00532940" w:rsidP="00A348E6">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"https://www.cpba.com.ar/images/Consejo/Modelo_5.doc"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A348E6" w:rsidRPr="00532940">
              <w:rPr>
                <w:rStyle w:val="Hipervnculo"/>
                <w:rFonts w:ascii="Palatino Linotype" w:hAnsi="Palatino Linotype"/>
                <w:b/>
                <w:i/>
                <w:sz w:val="18"/>
                <w:szCs w:val="18"/>
              </w:rPr>
              <w:t>Ver</w:t>
            </w:r>
          </w:p>
          <w:p w:rsidR="00A348E6" w:rsidRDefault="00A348E6" w:rsidP="00A348E6">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A348E6" w:rsidRPr="002555B9" w:rsidRDefault="00A348E6" w:rsidP="00A348E6">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14401A" w:rsidRDefault="00A348E6" w:rsidP="00A348E6">
            <w:pPr>
              <w:pStyle w:val="Prrafodelista"/>
              <w:ind w:left="0"/>
              <w:jc w:val="center"/>
              <w:rPr>
                <w:rFonts w:ascii="Palatino Linotype" w:hAnsi="Palatino Linotype"/>
                <w:b/>
                <w:i/>
                <w:sz w:val="18"/>
                <w:szCs w:val="18"/>
                <w:u w:val="single"/>
              </w:rPr>
            </w:pPr>
            <w:r w:rsidRPr="002555B9">
              <w:rPr>
                <w:rFonts w:ascii="Palatino Linotype" w:hAnsi="Palatino Linotype"/>
                <w:b/>
                <w:i/>
                <w:sz w:val="16"/>
                <w:szCs w:val="16"/>
              </w:rPr>
              <w:t>a normativa CPCEPBA)</w:t>
            </w:r>
          </w:p>
        </w:tc>
      </w:tr>
      <w:tr w:rsidR="0014401A" w:rsidTr="002555B9">
        <w:tc>
          <w:tcPr>
            <w:tcW w:w="6901" w:type="dxa"/>
          </w:tcPr>
          <w:p w:rsidR="0014401A" w:rsidRDefault="0032357C" w:rsidP="0032357C">
            <w:pPr>
              <w:pStyle w:val="Prrafodelista"/>
              <w:ind w:left="0"/>
              <w:jc w:val="both"/>
              <w:rPr>
                <w:rFonts w:ascii="Palatino Linotype" w:hAnsi="Palatino Linotype"/>
                <w:sz w:val="16"/>
                <w:szCs w:val="16"/>
              </w:rPr>
            </w:pPr>
            <w:r w:rsidRPr="002555B9">
              <w:rPr>
                <w:b/>
                <w:sz w:val="16"/>
                <w:szCs w:val="16"/>
                <w:u w:val="single"/>
              </w:rPr>
              <w:t>CASO</w:t>
            </w:r>
            <w:r>
              <w:rPr>
                <w:b/>
                <w:sz w:val="16"/>
                <w:szCs w:val="16"/>
                <w:u w:val="single"/>
              </w:rPr>
              <w:t xml:space="preserve"> 6</w:t>
            </w:r>
            <w:r w:rsidRPr="002555B9">
              <w:rPr>
                <w:b/>
                <w:sz w:val="16"/>
                <w:szCs w:val="16"/>
                <w:u w:val="single"/>
              </w:rPr>
              <w:t>:</w:t>
            </w:r>
            <w:r>
              <w:rPr>
                <w:sz w:val="16"/>
                <w:szCs w:val="16"/>
              </w:rPr>
              <w:t xml:space="preserve"> </w:t>
            </w:r>
            <w:r w:rsidRPr="0032357C">
              <w:rPr>
                <w:rFonts w:cstheme="minorHAnsi"/>
                <w:sz w:val="16"/>
                <w:szCs w:val="16"/>
              </w:rPr>
              <w:t xml:space="preserve">Si no existieran elementos de </w:t>
            </w:r>
            <w:proofErr w:type="gramStart"/>
            <w:r w:rsidRPr="0032357C">
              <w:rPr>
                <w:rFonts w:cstheme="minorHAnsi"/>
                <w:sz w:val="16"/>
                <w:szCs w:val="16"/>
              </w:rPr>
              <w:t>juicio válidos y razonables</w:t>
            </w:r>
            <w:proofErr w:type="gramEnd"/>
            <w:r w:rsidRPr="0032357C">
              <w:rPr>
                <w:rFonts w:cstheme="minorHAnsi"/>
                <w:sz w:val="16"/>
                <w:szCs w:val="16"/>
              </w:rPr>
              <w:t xml:space="preserve"> de que la entidad tiene capacidad para continuar como una empresa en marcha dentro del futuro previsible, pero la entidad ha aplicado normas contables correspondientes a una empresa en marcha, la opinión del contador será adversa. En este caso, los estados contables de la entidad no presentarán razonablemente la situación patrimonial, los resultados, la evolución de su patrimonio neto y el flujo de efectivo de conformidad con normas contables profesionales, dado que estas solo son aplicables a una empresa en marcha.</w:t>
            </w:r>
          </w:p>
          <w:p w:rsidR="0032357C" w:rsidRPr="0032357C" w:rsidRDefault="0032357C" w:rsidP="0032357C">
            <w:pPr>
              <w:pStyle w:val="Prrafodelista"/>
              <w:ind w:left="0"/>
              <w:jc w:val="both"/>
              <w:rPr>
                <w:rFonts w:ascii="Palatino Linotype" w:hAnsi="Palatino Linotype"/>
                <w:b/>
                <w:i/>
                <w:sz w:val="16"/>
                <w:szCs w:val="16"/>
                <w:u w:val="single"/>
              </w:rPr>
            </w:pPr>
          </w:p>
        </w:tc>
        <w:tc>
          <w:tcPr>
            <w:tcW w:w="2455" w:type="dxa"/>
            <w:vAlign w:val="center"/>
          </w:tcPr>
          <w:p w:rsidR="0032357C" w:rsidRPr="00532940" w:rsidRDefault="00532940" w:rsidP="0032357C">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"https://www.cpba.com.ar/images/Consejo/Modelo_6.doc"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32357C" w:rsidRPr="00532940">
              <w:rPr>
                <w:rStyle w:val="Hipervnculo"/>
                <w:rFonts w:ascii="Palatino Linotype" w:hAnsi="Palatino Linotype"/>
                <w:b/>
                <w:i/>
                <w:sz w:val="18"/>
                <w:szCs w:val="18"/>
              </w:rPr>
              <w:t>Ver</w:t>
            </w:r>
          </w:p>
          <w:p w:rsidR="0032357C" w:rsidRDefault="0032357C" w:rsidP="0032357C">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32357C" w:rsidRPr="002555B9" w:rsidRDefault="0032357C" w:rsidP="0032357C">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14401A" w:rsidRDefault="0032357C" w:rsidP="0032357C">
            <w:pPr>
              <w:pStyle w:val="Prrafodelista"/>
              <w:ind w:left="0"/>
              <w:jc w:val="center"/>
              <w:rPr>
                <w:rFonts w:ascii="Palatino Linotype" w:hAnsi="Palatino Linotype"/>
                <w:b/>
                <w:i/>
                <w:sz w:val="18"/>
                <w:szCs w:val="18"/>
                <w:u w:val="single"/>
              </w:rPr>
            </w:pPr>
            <w:r w:rsidRPr="002555B9">
              <w:rPr>
                <w:rFonts w:ascii="Palatino Linotype" w:hAnsi="Palatino Linotype"/>
                <w:b/>
                <w:i/>
                <w:sz w:val="16"/>
                <w:szCs w:val="16"/>
              </w:rPr>
              <w:t>a normativa CPCEPBA)</w:t>
            </w:r>
          </w:p>
        </w:tc>
      </w:tr>
      <w:tr w:rsidR="0014401A" w:rsidTr="002555B9">
        <w:tc>
          <w:tcPr>
            <w:tcW w:w="6901" w:type="dxa"/>
          </w:tcPr>
          <w:p w:rsidR="0014401A" w:rsidRDefault="0032357C" w:rsidP="0032357C">
            <w:pPr>
              <w:pStyle w:val="Prrafodelista"/>
              <w:ind w:left="0"/>
              <w:jc w:val="both"/>
              <w:rPr>
                <w:rFonts w:cstheme="minorHAnsi"/>
                <w:sz w:val="16"/>
                <w:szCs w:val="16"/>
              </w:rPr>
            </w:pPr>
            <w:r w:rsidRPr="002555B9">
              <w:rPr>
                <w:b/>
                <w:sz w:val="16"/>
                <w:szCs w:val="16"/>
                <w:u w:val="single"/>
              </w:rPr>
              <w:t>CASO</w:t>
            </w:r>
            <w:r>
              <w:rPr>
                <w:b/>
                <w:sz w:val="16"/>
                <w:szCs w:val="16"/>
                <w:u w:val="single"/>
              </w:rPr>
              <w:t xml:space="preserve"> 7</w:t>
            </w:r>
            <w:r w:rsidRPr="002555B9">
              <w:rPr>
                <w:b/>
                <w:sz w:val="16"/>
                <w:szCs w:val="16"/>
                <w:u w:val="single"/>
              </w:rPr>
              <w:t>:</w:t>
            </w:r>
            <w:r>
              <w:rPr>
                <w:sz w:val="16"/>
                <w:szCs w:val="16"/>
              </w:rPr>
              <w:t xml:space="preserve"> </w:t>
            </w:r>
            <w:r w:rsidRPr="0032357C">
              <w:rPr>
                <w:rFonts w:cstheme="minorHAnsi"/>
                <w:sz w:val="16"/>
                <w:szCs w:val="16"/>
              </w:rPr>
              <w:t>En circunstancias poco frecuentes que supongan la existencia de múltiples incertidumbres, si el contador concluye que, a pesar de haber obtenido elementos de juicio válidos y suficientes en relación con cada una de las incertidumbres, no es posible formarse una opinión sobre los estados contables debido a la posible interacción de las incertidumbres y su posible efecto acumulativo en los estados contables, se abstendrá de opinar.</w:t>
            </w:r>
          </w:p>
          <w:p w:rsidR="0032357C" w:rsidRPr="0032357C" w:rsidRDefault="0032357C" w:rsidP="0032357C">
            <w:pPr>
              <w:pStyle w:val="Prrafodelista"/>
              <w:ind w:left="0"/>
              <w:jc w:val="both"/>
              <w:rPr>
                <w:rFonts w:cstheme="minorHAnsi"/>
                <w:b/>
                <w:sz w:val="16"/>
                <w:szCs w:val="16"/>
                <w:u w:val="single"/>
              </w:rPr>
            </w:pPr>
          </w:p>
        </w:tc>
        <w:tc>
          <w:tcPr>
            <w:tcW w:w="2455" w:type="dxa"/>
            <w:vAlign w:val="center"/>
          </w:tcPr>
          <w:p w:rsidR="0032357C" w:rsidRPr="00532940" w:rsidRDefault="00532940" w:rsidP="0032357C">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"https://www.cpba.com.ar/images/Consejo/Modelo_7.doc"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32357C" w:rsidRPr="00532940">
              <w:rPr>
                <w:rStyle w:val="Hipervnculo"/>
                <w:rFonts w:ascii="Palatino Linotype" w:hAnsi="Palatino Linotype"/>
                <w:b/>
                <w:i/>
                <w:sz w:val="18"/>
                <w:szCs w:val="18"/>
              </w:rPr>
              <w:t>Ver</w:t>
            </w:r>
          </w:p>
          <w:p w:rsidR="0032357C" w:rsidRDefault="0032357C" w:rsidP="0032357C">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32357C" w:rsidRPr="002555B9" w:rsidRDefault="0032357C" w:rsidP="0032357C">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14401A" w:rsidRDefault="0032357C" w:rsidP="0032357C">
            <w:pPr>
              <w:pStyle w:val="Prrafodelista"/>
              <w:ind w:left="0"/>
              <w:jc w:val="center"/>
              <w:rPr>
                <w:rFonts w:ascii="Palatino Linotype" w:hAnsi="Palatino Linotype"/>
                <w:b/>
                <w:i/>
                <w:sz w:val="18"/>
                <w:szCs w:val="18"/>
                <w:u w:val="single"/>
              </w:rPr>
            </w:pPr>
            <w:r w:rsidRPr="002555B9">
              <w:rPr>
                <w:rFonts w:ascii="Palatino Linotype" w:hAnsi="Palatino Linotype"/>
                <w:b/>
                <w:i/>
                <w:sz w:val="16"/>
                <w:szCs w:val="16"/>
              </w:rPr>
              <w:t>a normativa CPCEPBA)</w:t>
            </w:r>
          </w:p>
        </w:tc>
      </w:tr>
      <w:tr w:rsidR="0014401A" w:rsidTr="002555B9">
        <w:tc>
          <w:tcPr>
            <w:tcW w:w="6901" w:type="dxa"/>
          </w:tcPr>
          <w:p w:rsidR="0014401A" w:rsidRDefault="00650805" w:rsidP="00650805">
            <w:pPr>
              <w:pStyle w:val="Prrafodelista"/>
              <w:ind w:left="0"/>
              <w:jc w:val="both"/>
              <w:rPr>
                <w:sz w:val="16"/>
                <w:szCs w:val="16"/>
              </w:rPr>
            </w:pPr>
            <w:r w:rsidRPr="002555B9">
              <w:rPr>
                <w:b/>
                <w:sz w:val="16"/>
                <w:szCs w:val="16"/>
                <w:u w:val="single"/>
              </w:rPr>
              <w:t>CASO</w:t>
            </w:r>
            <w:r>
              <w:rPr>
                <w:b/>
                <w:sz w:val="16"/>
                <w:szCs w:val="16"/>
                <w:u w:val="single"/>
              </w:rPr>
              <w:t xml:space="preserve"> </w:t>
            </w:r>
            <w:r w:rsidR="001E5360">
              <w:rPr>
                <w:b/>
                <w:sz w:val="16"/>
                <w:szCs w:val="16"/>
                <w:u w:val="single"/>
              </w:rPr>
              <w:t>8</w:t>
            </w:r>
            <w:r w:rsidRPr="002555B9">
              <w:rPr>
                <w:b/>
                <w:sz w:val="16"/>
                <w:szCs w:val="16"/>
                <w:u w:val="single"/>
              </w:rPr>
              <w:t>:</w:t>
            </w:r>
            <w:r>
              <w:rPr>
                <w:sz w:val="16"/>
                <w:szCs w:val="16"/>
              </w:rPr>
              <w:t xml:space="preserve"> </w:t>
            </w:r>
            <w:r w:rsidRPr="00650805">
              <w:rPr>
                <w:sz w:val="16"/>
                <w:szCs w:val="16"/>
              </w:rPr>
              <w:t xml:space="preserve">Si como consecuencia de las circunstancias mencionadas en el apartado 3 de </w:t>
            </w:r>
            <w:r w:rsidR="00ED134F" w:rsidRPr="00ED134F">
              <w:rPr>
                <w:sz w:val="16"/>
                <w:szCs w:val="16"/>
              </w:rPr>
              <w:t>la “Guía sobre la Aplicación de las Normas de Contabilidad y Auditoría frente a los efectos del COVID-19”, emitida por la FACPCE,</w:t>
            </w:r>
            <w:r w:rsidR="00ED134F">
              <w:rPr>
                <w:sz w:val="16"/>
                <w:szCs w:val="16"/>
              </w:rPr>
              <w:t xml:space="preserve"> </w:t>
            </w:r>
            <w:r w:rsidRPr="00650805">
              <w:rPr>
                <w:sz w:val="16"/>
                <w:szCs w:val="16"/>
              </w:rPr>
              <w:t>u otras, el contador enfrentara limitaciones al alcance de su trabajo que no le permitieran obtener elementos de juicio válidos y suficientes en los que basar su opinión, pero concluya que los posibles efectos sobre los estados contables de las incorrecciones no detectadas, si las hubiera, podrían ser significativos, aunque no generalizados como para justificar una abstención de opinión, emitirá su opinión de auditoría con salvedades, describiendo en el párrafo de “Fundamentos de la opinión con salvedades” las razones que l</w:t>
            </w:r>
            <w:r w:rsidR="00161FDA">
              <w:rPr>
                <w:sz w:val="16"/>
                <w:szCs w:val="16"/>
              </w:rPr>
              <w:t>o</w:t>
            </w:r>
            <w:r w:rsidRPr="00650805">
              <w:rPr>
                <w:sz w:val="16"/>
                <w:szCs w:val="16"/>
              </w:rPr>
              <w:t xml:space="preserve"> llevaron a opinar “excepto por los posibles efectos” de la situación descripta.</w:t>
            </w:r>
          </w:p>
          <w:p w:rsidR="00650805" w:rsidRPr="00650805" w:rsidRDefault="00650805" w:rsidP="00650805">
            <w:pPr>
              <w:pStyle w:val="Prrafodelista"/>
              <w:ind w:left="0"/>
              <w:jc w:val="both"/>
              <w:rPr>
                <w:rFonts w:ascii="Palatino Linotype" w:hAnsi="Palatino Linotype"/>
                <w:b/>
                <w:i/>
                <w:sz w:val="16"/>
                <w:szCs w:val="16"/>
                <w:u w:val="single"/>
              </w:rPr>
            </w:pPr>
          </w:p>
        </w:tc>
        <w:tc>
          <w:tcPr>
            <w:tcW w:w="2455" w:type="dxa"/>
            <w:vAlign w:val="center"/>
          </w:tcPr>
          <w:p w:rsidR="001E5360" w:rsidRPr="00532940" w:rsidRDefault="00532940" w:rsidP="001E5360">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"https://www.cpba.com.ar/images/Consejo/Modelo_8.doc"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1E5360" w:rsidRPr="00532940">
              <w:rPr>
                <w:rStyle w:val="Hipervnculo"/>
                <w:rFonts w:ascii="Palatino Linotype" w:hAnsi="Palatino Linotype"/>
                <w:b/>
                <w:i/>
                <w:sz w:val="18"/>
                <w:szCs w:val="18"/>
              </w:rPr>
              <w:t>Ver</w:t>
            </w:r>
          </w:p>
          <w:p w:rsidR="001E5360" w:rsidRDefault="001E5360" w:rsidP="001E5360">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p>
          <w:p w:rsidR="001E5360" w:rsidRPr="002555B9" w:rsidRDefault="001E5360" w:rsidP="001E5360">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14401A" w:rsidRDefault="001E5360" w:rsidP="001E5360">
            <w:pPr>
              <w:pStyle w:val="Prrafodelista"/>
              <w:ind w:left="0"/>
              <w:jc w:val="center"/>
              <w:rPr>
                <w:rFonts w:ascii="Palatino Linotype" w:hAnsi="Palatino Linotype"/>
                <w:b/>
                <w:i/>
                <w:sz w:val="18"/>
                <w:szCs w:val="18"/>
                <w:u w:val="single"/>
              </w:rPr>
            </w:pPr>
            <w:r w:rsidRPr="002555B9">
              <w:rPr>
                <w:rFonts w:ascii="Palatino Linotype" w:hAnsi="Palatino Linotype"/>
                <w:b/>
                <w:i/>
                <w:sz w:val="16"/>
                <w:szCs w:val="16"/>
              </w:rPr>
              <w:t>a normativa CPCEPBA)</w:t>
            </w:r>
          </w:p>
        </w:tc>
      </w:tr>
      <w:tr w:rsidR="0014401A" w:rsidTr="002555B9">
        <w:tc>
          <w:tcPr>
            <w:tcW w:w="6901" w:type="dxa"/>
          </w:tcPr>
          <w:p w:rsidR="0014401A" w:rsidRPr="00D646B3" w:rsidRDefault="00D646B3" w:rsidP="003F2407">
            <w:pPr>
              <w:pStyle w:val="Prrafodelista"/>
              <w:ind w:left="0"/>
              <w:jc w:val="both"/>
              <w:rPr>
                <w:rFonts w:ascii="Palatino Linotype" w:hAnsi="Palatino Linotype"/>
                <w:b/>
                <w:i/>
                <w:sz w:val="16"/>
                <w:szCs w:val="16"/>
                <w:u w:val="single"/>
              </w:rPr>
            </w:pPr>
            <w:r w:rsidRPr="002555B9">
              <w:rPr>
                <w:b/>
                <w:sz w:val="16"/>
                <w:szCs w:val="16"/>
                <w:u w:val="single"/>
              </w:rPr>
              <w:t>CASO</w:t>
            </w:r>
            <w:r>
              <w:rPr>
                <w:b/>
                <w:sz w:val="16"/>
                <w:szCs w:val="16"/>
                <w:u w:val="single"/>
              </w:rPr>
              <w:t xml:space="preserve"> 9</w:t>
            </w:r>
            <w:r w:rsidRPr="002555B9">
              <w:rPr>
                <w:b/>
                <w:sz w:val="16"/>
                <w:szCs w:val="16"/>
                <w:u w:val="single"/>
              </w:rPr>
              <w:t>:</w:t>
            </w:r>
            <w:r>
              <w:rPr>
                <w:sz w:val="16"/>
                <w:szCs w:val="16"/>
              </w:rPr>
              <w:t xml:space="preserve"> </w:t>
            </w:r>
            <w:r w:rsidRPr="00D646B3">
              <w:rPr>
                <w:sz w:val="16"/>
                <w:szCs w:val="16"/>
              </w:rPr>
              <w:t xml:space="preserve">Si como consecuencia de las circunstancias mencionadas en el apartado 3 de </w:t>
            </w:r>
            <w:r w:rsidR="00ED134F" w:rsidRPr="00ED134F">
              <w:rPr>
                <w:sz w:val="16"/>
                <w:szCs w:val="16"/>
              </w:rPr>
              <w:t>la “Guía sobre la Aplicación de las Normas de Contabilidad y Auditoría frente a los efectos del COVID-19”, emitida por la FACPCE,</w:t>
            </w:r>
            <w:r w:rsidR="00ED134F">
              <w:rPr>
                <w:sz w:val="16"/>
                <w:szCs w:val="16"/>
              </w:rPr>
              <w:t xml:space="preserve"> </w:t>
            </w:r>
            <w:r w:rsidRPr="00D646B3">
              <w:rPr>
                <w:sz w:val="16"/>
                <w:szCs w:val="16"/>
              </w:rPr>
              <w:t>u otras, el contador enfrentara limitaciones al alcance de su trabajo que no le permitieran obtener elementos de juicio válidos y suficientes en los que basar su opinión, y concluye que los posibles efectos sobre los estados contables de las incorrecciones no detectadas, si las hubiera, podrían ser significativos y generalizados, se abstendrá de opinar, describiendo en el párrafo de “Fundamentos de la abstención de opinión” las razones para ello.</w:t>
            </w:r>
          </w:p>
        </w:tc>
        <w:tc>
          <w:tcPr>
            <w:tcW w:w="2455" w:type="dxa"/>
            <w:vAlign w:val="center"/>
          </w:tcPr>
          <w:p w:rsidR="00D646B3" w:rsidRPr="00532940" w:rsidRDefault="00532940" w:rsidP="00D646B3">
            <w:pPr>
              <w:pStyle w:val="Prrafodelista"/>
              <w:ind w:left="0"/>
              <w:jc w:val="center"/>
              <w:rPr>
                <w:rStyle w:val="Hipervnculo"/>
                <w:rFonts w:ascii="Palatino Linotype" w:hAnsi="Palatino Linotype"/>
                <w:b/>
                <w:i/>
                <w:sz w:val="18"/>
                <w:szCs w:val="18"/>
              </w:rPr>
            </w:pPr>
            <w:r>
              <w:rPr>
                <w:rFonts w:ascii="Palatino Linotype" w:hAnsi="Palatino Linotype"/>
                <w:b/>
                <w:i/>
                <w:sz w:val="18"/>
                <w:szCs w:val="18"/>
                <w:u w:val="single"/>
              </w:rPr>
              <w:fldChar w:fldCharType="begin"/>
            </w:r>
            <w:r w:rsidR="00253939">
              <w:rPr>
                <w:rFonts w:ascii="Palatino Linotype" w:hAnsi="Palatino Linotype"/>
                <w:b/>
                <w:i/>
                <w:sz w:val="18"/>
                <w:szCs w:val="18"/>
                <w:u w:val="single"/>
              </w:rPr>
              <w:instrText>HYPERLINK "https://www.cpba.com.ar/images/Consejo/Modelo_9.doc"</w:instrText>
            </w:r>
            <w:r w:rsidR="00253939">
              <w:rPr>
                <w:rFonts w:ascii="Palatino Linotype" w:hAnsi="Palatino Linotype"/>
                <w:b/>
                <w:i/>
                <w:sz w:val="18"/>
                <w:szCs w:val="18"/>
                <w:u w:val="single"/>
              </w:rPr>
            </w:r>
            <w:r>
              <w:rPr>
                <w:rFonts w:ascii="Palatino Linotype" w:hAnsi="Palatino Linotype"/>
                <w:b/>
                <w:i/>
                <w:sz w:val="18"/>
                <w:szCs w:val="18"/>
                <w:u w:val="single"/>
              </w:rPr>
              <w:fldChar w:fldCharType="separate"/>
            </w:r>
            <w:r w:rsidR="00D646B3" w:rsidRPr="00532940">
              <w:rPr>
                <w:rStyle w:val="Hipervnculo"/>
                <w:rFonts w:ascii="Palatino Linotype" w:hAnsi="Palatino Linotype"/>
                <w:b/>
                <w:i/>
                <w:sz w:val="18"/>
                <w:szCs w:val="18"/>
              </w:rPr>
              <w:t>Ver</w:t>
            </w:r>
          </w:p>
          <w:p w:rsidR="00D646B3" w:rsidRDefault="00D646B3" w:rsidP="00D646B3">
            <w:pPr>
              <w:pStyle w:val="Prrafodelista"/>
              <w:ind w:left="0"/>
              <w:jc w:val="center"/>
              <w:rPr>
                <w:rFonts w:ascii="Palatino Linotype" w:hAnsi="Palatino Linotype"/>
                <w:b/>
                <w:i/>
                <w:sz w:val="18"/>
                <w:szCs w:val="18"/>
                <w:u w:val="single"/>
              </w:rPr>
            </w:pPr>
            <w:r w:rsidRPr="00532940">
              <w:rPr>
                <w:rStyle w:val="Hipervnculo"/>
                <w:rFonts w:ascii="Palatino Linotype" w:hAnsi="Palatino Linotype"/>
                <w:b/>
                <w:i/>
                <w:sz w:val="18"/>
                <w:szCs w:val="18"/>
              </w:rPr>
              <w:t>Modelo</w:t>
            </w:r>
            <w:r w:rsidR="00532940">
              <w:rPr>
                <w:rFonts w:ascii="Palatino Linotype" w:hAnsi="Palatino Linotype"/>
                <w:b/>
                <w:i/>
                <w:sz w:val="18"/>
                <w:szCs w:val="18"/>
                <w:u w:val="single"/>
              </w:rPr>
              <w:fldChar w:fldCharType="end"/>
            </w:r>
            <w:bookmarkStart w:id="0" w:name="_GoBack"/>
            <w:bookmarkEnd w:id="0"/>
          </w:p>
          <w:p w:rsidR="00D646B3" w:rsidRPr="002555B9" w:rsidRDefault="00D646B3" w:rsidP="00D646B3">
            <w:pPr>
              <w:pStyle w:val="Prrafodelista"/>
              <w:ind w:left="0"/>
              <w:jc w:val="center"/>
              <w:rPr>
                <w:rFonts w:ascii="Palatino Linotype" w:hAnsi="Palatino Linotype"/>
                <w:b/>
                <w:i/>
                <w:sz w:val="16"/>
                <w:szCs w:val="16"/>
              </w:rPr>
            </w:pPr>
            <w:r w:rsidRPr="002555B9">
              <w:rPr>
                <w:rFonts w:ascii="Palatino Linotype" w:hAnsi="Palatino Linotype"/>
                <w:b/>
                <w:i/>
                <w:sz w:val="16"/>
                <w:szCs w:val="16"/>
              </w:rPr>
              <w:t>(</w:t>
            </w:r>
            <w:r w:rsidRPr="002555B9">
              <w:rPr>
                <w:rFonts w:ascii="Palatino Linotype" w:hAnsi="Palatino Linotype"/>
                <w:b/>
                <w:i/>
                <w:sz w:val="16"/>
                <w:szCs w:val="16"/>
                <w:u w:val="single"/>
              </w:rPr>
              <w:t>Fuente:</w:t>
            </w:r>
            <w:r w:rsidRPr="002555B9">
              <w:rPr>
                <w:rFonts w:ascii="Palatino Linotype" w:hAnsi="Palatino Linotype"/>
                <w:b/>
                <w:i/>
                <w:sz w:val="16"/>
                <w:szCs w:val="16"/>
              </w:rPr>
              <w:t xml:space="preserve"> FACPCE adaptado</w:t>
            </w:r>
          </w:p>
          <w:p w:rsidR="0014401A" w:rsidRDefault="00D646B3" w:rsidP="00D646B3">
            <w:pPr>
              <w:pStyle w:val="Prrafodelista"/>
              <w:ind w:left="0"/>
              <w:jc w:val="center"/>
              <w:rPr>
                <w:rFonts w:ascii="Palatino Linotype" w:hAnsi="Palatino Linotype"/>
                <w:b/>
                <w:i/>
                <w:sz w:val="18"/>
                <w:szCs w:val="18"/>
                <w:u w:val="single"/>
              </w:rPr>
            </w:pPr>
            <w:r w:rsidRPr="002555B9">
              <w:rPr>
                <w:rFonts w:ascii="Palatino Linotype" w:hAnsi="Palatino Linotype"/>
                <w:b/>
                <w:i/>
                <w:sz w:val="16"/>
                <w:szCs w:val="16"/>
              </w:rPr>
              <w:t>a normativa CPCEPBA)</w:t>
            </w:r>
          </w:p>
        </w:tc>
      </w:tr>
    </w:tbl>
    <w:p w:rsidR="0014401A" w:rsidRDefault="0014401A" w:rsidP="00AA3BF5">
      <w:pPr>
        <w:pStyle w:val="Prrafodelista"/>
        <w:jc w:val="center"/>
        <w:rPr>
          <w:rFonts w:ascii="Palatino Linotype" w:hAnsi="Palatino Linotype"/>
          <w:b/>
          <w:i/>
          <w:sz w:val="18"/>
          <w:szCs w:val="18"/>
          <w:u w:val="single"/>
        </w:rPr>
      </w:pPr>
    </w:p>
    <w:p w:rsidR="00F927CA" w:rsidRPr="00F927CA" w:rsidRDefault="00F927CA" w:rsidP="00F927CA">
      <w:pPr>
        <w:pStyle w:val="Prrafodelista"/>
        <w:ind w:left="-142"/>
        <w:jc w:val="both"/>
        <w:rPr>
          <w:rFonts w:ascii="Palatino Linotype" w:hAnsi="Palatino Linotype"/>
          <w:b/>
          <w:i/>
          <w:sz w:val="18"/>
          <w:szCs w:val="18"/>
          <w:u w:val="single"/>
        </w:rPr>
      </w:pPr>
      <w:r w:rsidRPr="00F927CA">
        <w:rPr>
          <w:rFonts w:ascii="Palatino Linotype" w:hAnsi="Palatino Linotype"/>
          <w:b/>
          <w:i/>
          <w:sz w:val="18"/>
          <w:szCs w:val="18"/>
          <w:u w:val="single"/>
        </w:rPr>
        <w:t>Aclaraciones</w:t>
      </w:r>
    </w:p>
    <w:p w:rsidR="00F927CA" w:rsidRDefault="00F927CA" w:rsidP="00F927CA">
      <w:pPr>
        <w:pStyle w:val="Prrafodelista"/>
        <w:ind w:left="-142"/>
        <w:jc w:val="both"/>
        <w:rPr>
          <w:rFonts w:ascii="Palatino Linotype" w:hAnsi="Palatino Linotype"/>
          <w:i/>
          <w:sz w:val="18"/>
          <w:szCs w:val="18"/>
        </w:rPr>
      </w:pPr>
      <w:r w:rsidRPr="00F927CA">
        <w:rPr>
          <w:rFonts w:ascii="Palatino Linotype" w:hAnsi="Palatino Linotype"/>
          <w:i/>
          <w:sz w:val="18"/>
          <w:szCs w:val="18"/>
        </w:rPr>
        <w:lastRenderedPageBreak/>
        <w:t xml:space="preserve">Los modelos de informes </w:t>
      </w:r>
      <w:r>
        <w:rPr>
          <w:rFonts w:ascii="Palatino Linotype" w:hAnsi="Palatino Linotype"/>
          <w:i/>
          <w:sz w:val="18"/>
          <w:szCs w:val="18"/>
        </w:rPr>
        <w:t>arriba indicados</w:t>
      </w:r>
      <w:r w:rsidRPr="00F927CA">
        <w:rPr>
          <w:rFonts w:ascii="Palatino Linotype" w:hAnsi="Palatino Linotype"/>
          <w:i/>
          <w:sz w:val="18"/>
          <w:szCs w:val="18"/>
        </w:rPr>
        <w:t xml:space="preserve"> son meramente ilustrativos y no son de aplicación obligatoria. </w:t>
      </w:r>
    </w:p>
    <w:p w:rsidR="00F927CA" w:rsidRPr="00DD425A" w:rsidRDefault="00F927CA" w:rsidP="00F927CA">
      <w:pPr>
        <w:pStyle w:val="Prrafodelista"/>
        <w:ind w:left="-142"/>
        <w:jc w:val="both"/>
        <w:rPr>
          <w:rFonts w:ascii="Palatino Linotype" w:hAnsi="Palatino Linotype"/>
          <w:i/>
          <w:sz w:val="12"/>
          <w:szCs w:val="12"/>
        </w:rPr>
      </w:pPr>
    </w:p>
    <w:p w:rsidR="00F927CA" w:rsidRDefault="00F927CA" w:rsidP="00F927CA">
      <w:pPr>
        <w:pStyle w:val="Prrafodelista"/>
        <w:ind w:left="-142"/>
        <w:jc w:val="both"/>
        <w:rPr>
          <w:rFonts w:ascii="Palatino Linotype" w:hAnsi="Palatino Linotype"/>
          <w:i/>
          <w:sz w:val="18"/>
          <w:szCs w:val="18"/>
        </w:rPr>
      </w:pPr>
      <w:r w:rsidRPr="00F927CA">
        <w:rPr>
          <w:rFonts w:ascii="Palatino Linotype" w:hAnsi="Palatino Linotype"/>
          <w:i/>
          <w:sz w:val="18"/>
          <w:szCs w:val="18"/>
        </w:rPr>
        <w:t>Tales modelos:</w:t>
      </w:r>
    </w:p>
    <w:p w:rsidR="00F927CA" w:rsidRDefault="00F927CA" w:rsidP="00F927CA">
      <w:pPr>
        <w:pStyle w:val="Prrafodelista"/>
        <w:ind w:left="-142"/>
        <w:jc w:val="both"/>
        <w:rPr>
          <w:rFonts w:ascii="Palatino Linotype" w:hAnsi="Palatino Linotype"/>
          <w:i/>
          <w:sz w:val="18"/>
          <w:szCs w:val="18"/>
        </w:rPr>
      </w:pPr>
      <w:r w:rsidRPr="00F927CA">
        <w:rPr>
          <w:rFonts w:ascii="Palatino Linotype" w:hAnsi="Palatino Linotype"/>
          <w:i/>
          <w:sz w:val="18"/>
          <w:szCs w:val="18"/>
        </w:rPr>
        <w:t xml:space="preserve"> - Se han elaborado considerando la información comparativa bajo el enfoque de cifras correspondientes; </w:t>
      </w:r>
    </w:p>
    <w:p w:rsidR="00F927CA" w:rsidRDefault="00F927CA" w:rsidP="00F927CA">
      <w:pPr>
        <w:pStyle w:val="Prrafodelista"/>
        <w:ind w:left="-142"/>
        <w:jc w:val="both"/>
        <w:rPr>
          <w:rFonts w:ascii="Palatino Linotype" w:hAnsi="Palatino Linotype"/>
          <w:i/>
          <w:sz w:val="18"/>
          <w:szCs w:val="18"/>
        </w:rPr>
      </w:pPr>
      <w:r w:rsidRPr="00F927CA">
        <w:rPr>
          <w:rFonts w:ascii="Palatino Linotype" w:hAnsi="Palatino Linotype"/>
          <w:i/>
          <w:sz w:val="18"/>
          <w:szCs w:val="18"/>
        </w:rPr>
        <w:t>- Excepto que el modelo indique lo contrario, se asume que el contador realizó todos los procedimientos de auditoría requeridos por las normas profesionales;</w:t>
      </w:r>
    </w:p>
    <w:p w:rsidR="00F927CA" w:rsidRDefault="00F927CA" w:rsidP="00F927CA">
      <w:pPr>
        <w:pStyle w:val="Prrafodelista"/>
        <w:ind w:left="-142"/>
        <w:jc w:val="both"/>
        <w:rPr>
          <w:rFonts w:ascii="Palatino Linotype" w:hAnsi="Palatino Linotype"/>
          <w:i/>
          <w:sz w:val="18"/>
          <w:szCs w:val="18"/>
        </w:rPr>
      </w:pPr>
      <w:r w:rsidRPr="00F927CA">
        <w:rPr>
          <w:rFonts w:ascii="Palatino Linotype" w:hAnsi="Palatino Linotype"/>
          <w:i/>
          <w:sz w:val="18"/>
          <w:szCs w:val="18"/>
        </w:rPr>
        <w:t xml:space="preserve"> - Las situaciones planteadas no son todas las que podrían presentarse en la práctica, pues podrían existir otras situaciones y combinaciones de circunstancias no contempladas en estos modelos;</w:t>
      </w:r>
    </w:p>
    <w:p w:rsidR="00F927CA" w:rsidRDefault="00F927CA" w:rsidP="00F927CA">
      <w:pPr>
        <w:pStyle w:val="Prrafodelista"/>
        <w:ind w:left="-142"/>
        <w:jc w:val="both"/>
        <w:rPr>
          <w:rFonts w:ascii="Palatino Linotype" w:hAnsi="Palatino Linotype"/>
          <w:i/>
          <w:sz w:val="18"/>
          <w:szCs w:val="18"/>
        </w:rPr>
      </w:pPr>
      <w:r w:rsidRPr="00F927CA">
        <w:rPr>
          <w:rFonts w:ascii="Palatino Linotype" w:hAnsi="Palatino Linotype"/>
          <w:i/>
          <w:sz w:val="18"/>
          <w:szCs w:val="18"/>
        </w:rPr>
        <w:t xml:space="preserve"> - Se han resaltado ciertas frases o párrafos para facilitar la identificación de los que son específicamente aplicables a cada situación; y</w:t>
      </w:r>
    </w:p>
    <w:p w:rsidR="00F927CA" w:rsidRPr="00F927CA" w:rsidRDefault="00F927CA" w:rsidP="00F927CA">
      <w:pPr>
        <w:pStyle w:val="Prrafodelista"/>
        <w:ind w:left="-142"/>
        <w:jc w:val="both"/>
        <w:rPr>
          <w:rFonts w:ascii="Palatino Linotype" w:hAnsi="Palatino Linotype"/>
          <w:i/>
          <w:sz w:val="18"/>
          <w:szCs w:val="18"/>
        </w:rPr>
      </w:pPr>
      <w:r w:rsidRPr="00F927CA">
        <w:rPr>
          <w:rFonts w:ascii="Palatino Linotype" w:hAnsi="Palatino Linotype"/>
          <w:i/>
          <w:sz w:val="18"/>
          <w:szCs w:val="18"/>
        </w:rPr>
        <w:t xml:space="preserve"> - Los modelos de informes de auditoría pueden ser utilizados como referencia para la redacción de informes de revisión o informes de sindicatura, con las adecuaciones - en cada caso - al tipo de encargo de que se trata.</w:t>
      </w:r>
    </w:p>
    <w:sectPr w:rsidR="00F927CA" w:rsidRPr="00F927CA" w:rsidSect="00DD425A">
      <w:pgSz w:w="11906" w:h="16838"/>
      <w:pgMar w:top="851"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423A3"/>
    <w:multiLevelType w:val="hybridMultilevel"/>
    <w:tmpl w:val="E628529E"/>
    <w:lvl w:ilvl="0" w:tplc="8E50F5B6">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22"/>
    <w:rsid w:val="0003714A"/>
    <w:rsid w:val="000E332F"/>
    <w:rsid w:val="00137327"/>
    <w:rsid w:val="0014401A"/>
    <w:rsid w:val="00151603"/>
    <w:rsid w:val="00161FDA"/>
    <w:rsid w:val="001B309E"/>
    <w:rsid w:val="001D2107"/>
    <w:rsid w:val="001E5360"/>
    <w:rsid w:val="00251593"/>
    <w:rsid w:val="00253939"/>
    <w:rsid w:val="002555B9"/>
    <w:rsid w:val="0032357C"/>
    <w:rsid w:val="00331A14"/>
    <w:rsid w:val="00356221"/>
    <w:rsid w:val="003F2407"/>
    <w:rsid w:val="004358FF"/>
    <w:rsid w:val="00435C15"/>
    <w:rsid w:val="00460E58"/>
    <w:rsid w:val="00465CF4"/>
    <w:rsid w:val="004F48D6"/>
    <w:rsid w:val="005202E7"/>
    <w:rsid w:val="00532940"/>
    <w:rsid w:val="005918FC"/>
    <w:rsid w:val="005F33CC"/>
    <w:rsid w:val="00650805"/>
    <w:rsid w:val="006554C8"/>
    <w:rsid w:val="00692E96"/>
    <w:rsid w:val="00712466"/>
    <w:rsid w:val="00875F1D"/>
    <w:rsid w:val="008B5364"/>
    <w:rsid w:val="008C24A7"/>
    <w:rsid w:val="009334F1"/>
    <w:rsid w:val="00962A42"/>
    <w:rsid w:val="00992F4C"/>
    <w:rsid w:val="009D347A"/>
    <w:rsid w:val="00A348E6"/>
    <w:rsid w:val="00AA3BF5"/>
    <w:rsid w:val="00D33381"/>
    <w:rsid w:val="00D646B3"/>
    <w:rsid w:val="00D75BD4"/>
    <w:rsid w:val="00DD2063"/>
    <w:rsid w:val="00DD425A"/>
    <w:rsid w:val="00E4192E"/>
    <w:rsid w:val="00ED134F"/>
    <w:rsid w:val="00EF409F"/>
    <w:rsid w:val="00F20F22"/>
    <w:rsid w:val="00F927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D8D79-6F05-4DAF-8F79-062303FD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2107"/>
    <w:pPr>
      <w:ind w:left="720"/>
      <w:contextualSpacing/>
    </w:pPr>
  </w:style>
  <w:style w:type="table" w:styleId="Tablaconcuadrcula">
    <w:name w:val="Table Grid"/>
    <w:basedOn w:val="Tablanormal"/>
    <w:uiPriority w:val="59"/>
    <w:rsid w:val="00144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32940"/>
    <w:rPr>
      <w:color w:val="0000FF" w:themeColor="hyperlink"/>
      <w:u w:val="single"/>
    </w:rPr>
  </w:style>
  <w:style w:type="character" w:styleId="Hipervnculovisitado">
    <w:name w:val="FollowedHyperlink"/>
    <w:basedOn w:val="Fuentedeprrafopredeter"/>
    <w:uiPriority w:val="99"/>
    <w:semiHidden/>
    <w:unhideWhenUsed/>
    <w:rsid w:val="003F2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1223</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Estela Mabel Canepa</cp:lastModifiedBy>
  <cp:revision>9</cp:revision>
  <dcterms:created xsi:type="dcterms:W3CDTF">2020-04-24T15:42:00Z</dcterms:created>
  <dcterms:modified xsi:type="dcterms:W3CDTF">2020-04-29T18:16:00Z</dcterms:modified>
</cp:coreProperties>
</file>