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DE0" w:rsidRDefault="00901DE0" w:rsidP="00901DE0">
      <w:pPr>
        <w:pStyle w:val="NormalWeb"/>
        <w:spacing w:before="0" w:beforeAutospacing="0" w:after="0" w:afterAutospacing="0"/>
        <w:jc w:val="center"/>
        <w:rPr>
          <w:rFonts w:ascii="Palatino Linotype" w:hAnsi="Palatino Linotype" w:cs="Times New Roman"/>
          <w:i/>
          <w:iCs/>
          <w:u w:val="single"/>
        </w:rPr>
      </w:pPr>
      <w:bookmarkStart w:id="0" w:name="_GoBack"/>
      <w:bookmarkEnd w:id="0"/>
      <w:r>
        <w:rPr>
          <w:rStyle w:val="Textoennegrita"/>
          <w:rFonts w:ascii="Palatino Linotype" w:hAnsi="Palatino Linotype" w:cs="Times New Roman"/>
          <w:i/>
          <w:iCs/>
          <w:u w:val="single"/>
        </w:rPr>
        <w:t xml:space="preserve">RESOLUCIÓN DE CONSEJO DIRECTIVO  N° </w:t>
      </w:r>
      <w:r w:rsidR="00A1482F">
        <w:rPr>
          <w:rStyle w:val="Textoennegrita"/>
          <w:rFonts w:ascii="Palatino Linotype" w:hAnsi="Palatino Linotype" w:cs="Times New Roman"/>
          <w:i/>
          <w:iCs/>
          <w:u w:val="single"/>
        </w:rPr>
        <w:t>3944</w:t>
      </w:r>
    </w:p>
    <w:p w:rsidR="00901DE0" w:rsidRDefault="00901DE0" w:rsidP="00901DE0">
      <w:pPr>
        <w:pStyle w:val="NormalWeb"/>
        <w:spacing w:before="0" w:beforeAutospacing="0" w:after="0" w:afterAutospacing="0"/>
        <w:jc w:val="both"/>
        <w:rPr>
          <w:rFonts w:ascii="Palatino Linotype" w:hAnsi="Palatino Linotype" w:cs="Times New Roman"/>
          <w:i/>
          <w:iCs/>
        </w:rPr>
      </w:pPr>
      <w:r>
        <w:rPr>
          <w:rStyle w:val="Textoennegrita"/>
          <w:rFonts w:ascii="Palatino Linotype" w:hAnsi="Palatino Linotype" w:cs="Times New Roman"/>
          <w:i/>
          <w:iCs/>
        </w:rPr>
        <w:t> </w:t>
      </w:r>
    </w:p>
    <w:p w:rsidR="00901DE0" w:rsidRDefault="00901DE0" w:rsidP="00901DE0">
      <w:pPr>
        <w:pStyle w:val="NormalWeb"/>
        <w:spacing w:before="0" w:beforeAutospacing="0" w:after="0" w:afterAutospacing="0"/>
        <w:jc w:val="both"/>
        <w:rPr>
          <w:rFonts w:ascii="Palatino Linotype" w:hAnsi="Palatino Linotype" w:cs="Times New Roman"/>
          <w:i/>
          <w:iCs/>
          <w:color w:val="008080"/>
          <w:sz w:val="12"/>
          <w:szCs w:val="12"/>
        </w:rPr>
      </w:pPr>
    </w:p>
    <w:p w:rsidR="00901DE0" w:rsidRDefault="00901DE0" w:rsidP="00901DE0">
      <w:pPr>
        <w:pStyle w:val="NormalWeb"/>
        <w:spacing w:before="0" w:beforeAutospacing="0" w:after="0" w:afterAutospacing="0"/>
        <w:jc w:val="both"/>
        <w:rPr>
          <w:rFonts w:ascii="Palatino Linotype" w:hAnsi="Palatino Linotype" w:cs="Times New Roman"/>
          <w:i/>
          <w:iCs/>
          <w:color w:val="008080"/>
          <w:sz w:val="12"/>
          <w:szCs w:val="12"/>
        </w:rPr>
      </w:pPr>
    </w:p>
    <w:p w:rsidR="00901DE0" w:rsidRDefault="00901DE0" w:rsidP="00901DE0">
      <w:pPr>
        <w:pStyle w:val="NormalWeb"/>
        <w:spacing w:before="0" w:beforeAutospacing="0" w:after="0" w:afterAutospacing="0"/>
        <w:jc w:val="both"/>
        <w:rPr>
          <w:rFonts w:ascii="Palatino Linotype" w:hAnsi="Palatino Linotype" w:cs="Times New Roman"/>
          <w:b/>
          <w:bCs/>
          <w:i/>
          <w:iCs/>
        </w:rPr>
      </w:pPr>
      <w:r>
        <w:rPr>
          <w:rFonts w:ascii="Palatino Linotype" w:hAnsi="Palatino Linotype" w:cs="Times New Roman"/>
          <w:b/>
          <w:bCs/>
          <w:i/>
          <w:iCs/>
        </w:rPr>
        <w:t>VISTO:</w:t>
      </w:r>
    </w:p>
    <w:p w:rsidR="00901DE0" w:rsidRDefault="00901DE0" w:rsidP="00901DE0">
      <w:pPr>
        <w:pStyle w:val="NormalWeb"/>
        <w:spacing w:before="0" w:beforeAutospacing="0" w:after="0" w:afterAutospacing="0"/>
        <w:ind w:firstLine="426"/>
        <w:jc w:val="both"/>
        <w:rPr>
          <w:rFonts w:ascii="Palatino Linotype" w:hAnsi="Palatino Linotype" w:cs="Times New Roman"/>
          <w:i/>
          <w:iCs/>
          <w:sz w:val="12"/>
          <w:szCs w:val="12"/>
        </w:rPr>
      </w:pPr>
    </w:p>
    <w:p w:rsidR="00901DE0" w:rsidRDefault="00901DE0" w:rsidP="00901DE0">
      <w:pPr>
        <w:pStyle w:val="NormalWeb"/>
        <w:spacing w:before="0" w:beforeAutospacing="0" w:after="0" w:afterAutospacing="0"/>
        <w:ind w:firstLine="709"/>
        <w:jc w:val="both"/>
        <w:rPr>
          <w:rFonts w:ascii="Palatino Linotype" w:hAnsi="Palatino Linotype" w:cs="Times New Roman"/>
          <w:i/>
          <w:iCs/>
          <w:sz w:val="12"/>
          <w:szCs w:val="12"/>
        </w:rPr>
      </w:pPr>
      <w:r>
        <w:rPr>
          <w:rFonts w:ascii="Palatino Linotype" w:hAnsi="Palatino Linotype" w:cs="Times New Roman"/>
          <w:i/>
          <w:iCs/>
        </w:rPr>
        <w:t>La Resolución Técnica N° 54 –Normas Contables Profesionales: Norma Unificada Argentina de Contabilidad-, aprobada por la Federación Argentina de Consejos Profesionales de Ciencias Económicas (FACPCE) con fecha 1° de julio de 2022; y</w:t>
      </w:r>
    </w:p>
    <w:p w:rsidR="00901DE0" w:rsidRPr="00DB65D2" w:rsidRDefault="00901DE0" w:rsidP="00901DE0">
      <w:pPr>
        <w:pStyle w:val="NormalWeb"/>
        <w:spacing w:before="0" w:beforeAutospacing="0" w:after="0" w:afterAutospacing="0"/>
        <w:jc w:val="both"/>
        <w:rPr>
          <w:rFonts w:ascii="Palatino Linotype" w:hAnsi="Palatino Linotype" w:cs="Times New Roman"/>
          <w:i/>
          <w:iCs/>
          <w:sz w:val="12"/>
          <w:szCs w:val="12"/>
        </w:rPr>
      </w:pPr>
    </w:p>
    <w:p w:rsidR="00901DE0" w:rsidRDefault="00901DE0" w:rsidP="00901DE0">
      <w:pPr>
        <w:pStyle w:val="NormalWeb"/>
        <w:spacing w:before="0" w:beforeAutospacing="0" w:after="0" w:afterAutospacing="0"/>
        <w:ind w:firstLine="708"/>
        <w:jc w:val="both"/>
        <w:rPr>
          <w:rFonts w:ascii="Palatino Linotype" w:hAnsi="Palatino Linotype" w:cs="Times New Roman"/>
          <w:i/>
          <w:iCs/>
        </w:rPr>
      </w:pPr>
      <w:r>
        <w:rPr>
          <w:rFonts w:ascii="Palatino Linotype" w:hAnsi="Palatino Linotype" w:cs="Times New Roman"/>
          <w:i/>
          <w:iCs/>
        </w:rPr>
        <w:t>La Resolución Técnica N° 56 –Normas Contables Profesionales: Norma Unificada Argentina de Contabilidad. Modificaciones a la Resolución Técnica N°54-, aprobada por la Federación Argentina de Consejos Profesionales de Ciencias Económicas con fecha 30 de junio de 2023; y</w:t>
      </w:r>
    </w:p>
    <w:p w:rsidR="00901DE0" w:rsidRPr="00DB65D2" w:rsidRDefault="00901DE0" w:rsidP="00901DE0">
      <w:pPr>
        <w:pStyle w:val="NormalWeb"/>
        <w:spacing w:before="0" w:beforeAutospacing="0" w:after="0" w:afterAutospacing="0"/>
        <w:jc w:val="both"/>
        <w:rPr>
          <w:rFonts w:ascii="Palatino Linotype" w:hAnsi="Palatino Linotype" w:cs="Times New Roman"/>
          <w:i/>
          <w:iCs/>
          <w:sz w:val="12"/>
          <w:szCs w:val="12"/>
        </w:rPr>
      </w:pPr>
    </w:p>
    <w:p w:rsidR="00901DE0" w:rsidRDefault="00901DE0" w:rsidP="00901DE0">
      <w:pPr>
        <w:pStyle w:val="NormalWeb"/>
        <w:spacing w:before="0" w:beforeAutospacing="0" w:after="0" w:afterAutospacing="0"/>
        <w:jc w:val="both"/>
        <w:rPr>
          <w:rFonts w:ascii="Palatino Linotype" w:hAnsi="Palatino Linotype" w:cs="Times New Roman"/>
          <w:b/>
          <w:bCs/>
          <w:i/>
          <w:iCs/>
        </w:rPr>
      </w:pPr>
      <w:r>
        <w:rPr>
          <w:rFonts w:ascii="Palatino Linotype" w:hAnsi="Palatino Linotype" w:cs="Times New Roman"/>
          <w:b/>
          <w:bCs/>
          <w:i/>
          <w:iCs/>
        </w:rPr>
        <w:t>CONSIDERANDO:</w:t>
      </w:r>
    </w:p>
    <w:p w:rsidR="00901DE0" w:rsidRPr="00A51D56" w:rsidRDefault="00901DE0" w:rsidP="00901DE0">
      <w:pPr>
        <w:pStyle w:val="NormalWeb"/>
        <w:spacing w:before="0" w:beforeAutospacing="0" w:after="0" w:afterAutospacing="0"/>
        <w:jc w:val="both"/>
        <w:rPr>
          <w:rFonts w:ascii="Palatino Linotype" w:hAnsi="Palatino Linotype" w:cs="Times New Roman"/>
          <w:b/>
          <w:bCs/>
          <w:i/>
          <w:iCs/>
          <w:sz w:val="12"/>
          <w:szCs w:val="12"/>
        </w:rPr>
      </w:pPr>
    </w:p>
    <w:p w:rsidR="00901DE0" w:rsidRPr="00BE61C5" w:rsidRDefault="00901DE0" w:rsidP="00901DE0">
      <w:pPr>
        <w:pStyle w:val="Default"/>
        <w:ind w:firstLine="709"/>
        <w:jc w:val="both"/>
        <w:rPr>
          <w:rFonts w:ascii="Palatino Linotype" w:hAnsi="Palatino Linotype"/>
          <w:i/>
          <w:sz w:val="20"/>
          <w:szCs w:val="20"/>
        </w:rPr>
      </w:pPr>
      <w:r w:rsidRPr="009213E3">
        <w:rPr>
          <w:rFonts w:ascii="Palatino Linotype" w:hAnsi="Palatino Linotype"/>
          <w:i/>
          <w:sz w:val="20"/>
          <w:szCs w:val="20"/>
        </w:rPr>
        <w:t>Que</w:t>
      </w:r>
      <w:r>
        <w:rPr>
          <w:rFonts w:ascii="Palatino Linotype" w:hAnsi="Palatino Linotype"/>
          <w:i/>
          <w:sz w:val="20"/>
          <w:szCs w:val="20"/>
        </w:rPr>
        <w:t xml:space="preserve"> el objetivo de la </w:t>
      </w:r>
      <w:r w:rsidRPr="009213E3">
        <w:rPr>
          <w:rFonts w:ascii="Palatino Linotype" w:hAnsi="Palatino Linotype"/>
          <w:i/>
          <w:sz w:val="20"/>
          <w:szCs w:val="20"/>
        </w:rPr>
        <w:t xml:space="preserve">Norma Unificada </w:t>
      </w:r>
      <w:r>
        <w:rPr>
          <w:rFonts w:ascii="Palatino Linotype" w:hAnsi="Palatino Linotype"/>
          <w:i/>
          <w:sz w:val="20"/>
          <w:szCs w:val="20"/>
        </w:rPr>
        <w:t xml:space="preserve">Argentina de </w:t>
      </w:r>
      <w:r w:rsidRPr="009213E3">
        <w:rPr>
          <w:rFonts w:ascii="Palatino Linotype" w:hAnsi="Palatino Linotype"/>
          <w:i/>
          <w:sz w:val="20"/>
          <w:szCs w:val="20"/>
        </w:rPr>
        <w:t>Contabilidad</w:t>
      </w:r>
      <w:r>
        <w:rPr>
          <w:rFonts w:ascii="Palatino Linotype" w:hAnsi="Palatino Linotype"/>
          <w:i/>
          <w:sz w:val="20"/>
          <w:szCs w:val="20"/>
        </w:rPr>
        <w:t xml:space="preserve"> (NUA) es </w:t>
      </w:r>
      <w:r w:rsidRPr="009213E3">
        <w:rPr>
          <w:rFonts w:ascii="Palatino Linotype" w:eastAsiaTheme="minorHAnsi" w:hAnsi="Palatino Linotype"/>
          <w:i/>
          <w:sz w:val="20"/>
          <w:szCs w:val="20"/>
          <w:lang w:eastAsia="en-US"/>
        </w:rPr>
        <w:t xml:space="preserve">prescribir las bases para preparar los </w:t>
      </w:r>
      <w:r w:rsidRPr="009213E3">
        <w:rPr>
          <w:rFonts w:ascii="Palatino Linotype" w:eastAsiaTheme="minorHAnsi" w:hAnsi="Palatino Linotype"/>
          <w:bCs/>
          <w:i/>
          <w:sz w:val="20"/>
          <w:szCs w:val="20"/>
          <w:lang w:eastAsia="en-US"/>
        </w:rPr>
        <w:t>estados contables</w:t>
      </w:r>
      <w:r w:rsidRPr="009213E3">
        <w:rPr>
          <w:rFonts w:ascii="Palatino Linotype" w:eastAsiaTheme="minorHAnsi" w:hAnsi="Palatino Linotype"/>
          <w:b/>
          <w:bCs/>
          <w:i/>
          <w:sz w:val="20"/>
          <w:szCs w:val="20"/>
          <w:lang w:eastAsia="en-US"/>
        </w:rPr>
        <w:t xml:space="preserve"> </w:t>
      </w:r>
      <w:r w:rsidRPr="009213E3">
        <w:rPr>
          <w:rFonts w:ascii="Palatino Linotype" w:eastAsiaTheme="minorHAnsi" w:hAnsi="Palatino Linotype"/>
          <w:i/>
          <w:sz w:val="20"/>
          <w:szCs w:val="20"/>
          <w:lang w:eastAsia="en-US"/>
        </w:rPr>
        <w:t xml:space="preserve">con fines generales, de forma tal que satisfagan los </w:t>
      </w:r>
      <w:r w:rsidRPr="009213E3">
        <w:rPr>
          <w:rFonts w:ascii="Palatino Linotype" w:eastAsiaTheme="minorHAnsi" w:hAnsi="Palatino Linotype"/>
          <w:bCs/>
          <w:i/>
          <w:sz w:val="20"/>
          <w:szCs w:val="20"/>
          <w:lang w:eastAsia="en-US"/>
        </w:rPr>
        <w:t xml:space="preserve">requisitos de la información contenida en </w:t>
      </w:r>
      <w:r>
        <w:rPr>
          <w:rFonts w:ascii="Palatino Linotype" w:eastAsiaTheme="minorHAnsi" w:hAnsi="Palatino Linotype"/>
          <w:bCs/>
          <w:i/>
          <w:sz w:val="20"/>
          <w:szCs w:val="20"/>
          <w:lang w:eastAsia="en-US"/>
        </w:rPr>
        <w:t xml:space="preserve">ellos, </w:t>
      </w:r>
      <w:r w:rsidRPr="009213E3">
        <w:rPr>
          <w:rFonts w:ascii="Palatino Linotype" w:eastAsiaTheme="minorHAnsi" w:hAnsi="Palatino Linotype"/>
          <w:i/>
          <w:sz w:val="20"/>
          <w:szCs w:val="20"/>
          <w:lang w:eastAsia="en-US"/>
        </w:rPr>
        <w:t>establec</w:t>
      </w:r>
      <w:r>
        <w:rPr>
          <w:rFonts w:ascii="Palatino Linotype" w:eastAsiaTheme="minorHAnsi" w:hAnsi="Palatino Linotype"/>
          <w:i/>
          <w:sz w:val="20"/>
          <w:szCs w:val="20"/>
          <w:lang w:eastAsia="en-US"/>
        </w:rPr>
        <w:t>iendo con ese fin</w:t>
      </w:r>
      <w:r w:rsidRPr="009213E3">
        <w:rPr>
          <w:rFonts w:ascii="Palatino Linotype" w:eastAsiaTheme="minorHAnsi" w:hAnsi="Palatino Linotype"/>
          <w:i/>
          <w:sz w:val="20"/>
          <w:szCs w:val="20"/>
          <w:lang w:eastAsia="en-US"/>
        </w:rPr>
        <w:t xml:space="preserve"> requerimientos sobre reconocimiento, baja en cuentas, medición, presentación y revelación de los elementos sobre los que una entidad informa mediante sus </w:t>
      </w:r>
      <w:r w:rsidRPr="00BE61C5">
        <w:rPr>
          <w:rFonts w:ascii="Palatino Linotype" w:eastAsiaTheme="minorHAnsi" w:hAnsi="Palatino Linotype"/>
          <w:bCs/>
          <w:i/>
          <w:sz w:val="20"/>
          <w:szCs w:val="20"/>
          <w:lang w:eastAsia="en-US"/>
        </w:rPr>
        <w:t>estados contables</w:t>
      </w:r>
      <w:r w:rsidRPr="00BE61C5">
        <w:rPr>
          <w:rFonts w:ascii="Palatino Linotype" w:eastAsiaTheme="minorHAnsi" w:hAnsi="Palatino Linotype"/>
          <w:i/>
          <w:sz w:val="20"/>
          <w:szCs w:val="20"/>
          <w:lang w:eastAsia="en-US"/>
        </w:rPr>
        <w:t xml:space="preserve">. </w:t>
      </w:r>
    </w:p>
    <w:p w:rsidR="00901DE0" w:rsidRPr="00A51D56" w:rsidRDefault="00901DE0" w:rsidP="00901DE0">
      <w:pPr>
        <w:pStyle w:val="Prrafodelista"/>
        <w:ind w:left="0" w:firstLine="709"/>
        <w:jc w:val="both"/>
        <w:rPr>
          <w:rFonts w:ascii="Palatino Linotype" w:hAnsi="Palatino Linotype"/>
          <w:i/>
          <w:sz w:val="12"/>
          <w:szCs w:val="12"/>
        </w:rPr>
      </w:pPr>
    </w:p>
    <w:p w:rsidR="00901DE0" w:rsidRDefault="00901DE0" w:rsidP="00901DE0">
      <w:pPr>
        <w:pStyle w:val="Prrafodelista"/>
        <w:spacing w:after="0"/>
        <w:ind w:left="0" w:firstLine="709"/>
        <w:jc w:val="both"/>
        <w:rPr>
          <w:rFonts w:ascii="Palatino Linotype" w:hAnsi="Palatino Linotype"/>
          <w:i/>
          <w:iCs/>
        </w:rPr>
      </w:pPr>
      <w:r>
        <w:rPr>
          <w:rFonts w:ascii="Palatino Linotype" w:hAnsi="Palatino Linotype"/>
          <w:i/>
        </w:rPr>
        <w:t>Que, en una primera etapa, la FACPCE aprobó la Resolución Técnica N° 54 -</w:t>
      </w:r>
      <w:r w:rsidRPr="00BE61C5">
        <w:rPr>
          <w:rFonts w:ascii="Palatino Linotype" w:hAnsi="Palatino Linotype"/>
          <w:i/>
          <w:iCs/>
        </w:rPr>
        <w:t xml:space="preserve"> </w:t>
      </w:r>
      <w:r>
        <w:rPr>
          <w:rFonts w:ascii="Palatino Linotype" w:hAnsi="Palatino Linotype"/>
          <w:i/>
          <w:iCs/>
        </w:rPr>
        <w:t>Normas Contables Profesionales: Norma Unificada Argentina de Contabilidad. Introducción y Primera Parte-, tratando en esa resolución el objetivo y alcance de la NUA, así como las normas generales para la confección de estados contables de todo tipo de entidad alcanzada por la RT.</w:t>
      </w:r>
    </w:p>
    <w:p w:rsidR="00901DE0" w:rsidRPr="00A51D56" w:rsidRDefault="00901DE0" w:rsidP="00901DE0">
      <w:pPr>
        <w:pStyle w:val="Prrafodelista"/>
        <w:spacing w:after="0"/>
        <w:ind w:left="0" w:firstLine="709"/>
        <w:jc w:val="both"/>
        <w:rPr>
          <w:rFonts w:ascii="Palatino Linotype" w:hAnsi="Palatino Linotype"/>
          <w:i/>
          <w:sz w:val="12"/>
          <w:szCs w:val="12"/>
        </w:rPr>
      </w:pPr>
    </w:p>
    <w:p w:rsidR="00901DE0" w:rsidRPr="008A0500" w:rsidRDefault="00901DE0" w:rsidP="00901DE0">
      <w:pPr>
        <w:pStyle w:val="Default"/>
        <w:ind w:firstLine="709"/>
        <w:jc w:val="both"/>
        <w:rPr>
          <w:rFonts w:ascii="Palatino Linotype" w:hAnsi="Palatino Linotype"/>
          <w:i/>
          <w:sz w:val="20"/>
          <w:szCs w:val="20"/>
        </w:rPr>
      </w:pPr>
      <w:r>
        <w:rPr>
          <w:rFonts w:ascii="Palatino Linotype" w:hAnsi="Palatino Linotype"/>
          <w:i/>
          <w:sz w:val="20"/>
          <w:szCs w:val="20"/>
        </w:rPr>
        <w:t xml:space="preserve">Que por Resolución JG FACPCE N° 608/22, esa Federación determinó los importes que deben considerarse para la calificación de los entes como pequeños o medianos (Párrafos 6 y 7 de la RT), brindando así el lineamiento a utilizar para la categorización de las entidades a efectos de la aplicación de la NUA. </w:t>
      </w:r>
    </w:p>
    <w:p w:rsidR="00901DE0" w:rsidRPr="00DB65D2" w:rsidRDefault="00901DE0" w:rsidP="00901DE0">
      <w:pPr>
        <w:pStyle w:val="NormalWeb"/>
        <w:spacing w:before="0" w:beforeAutospacing="0" w:after="0" w:afterAutospacing="0"/>
        <w:jc w:val="both"/>
        <w:rPr>
          <w:rFonts w:ascii="Palatino Linotype" w:hAnsi="Palatino Linotype" w:cs="Times New Roman"/>
          <w:b/>
          <w:bCs/>
          <w:i/>
          <w:iCs/>
          <w:sz w:val="12"/>
          <w:szCs w:val="12"/>
        </w:rPr>
      </w:pPr>
    </w:p>
    <w:p w:rsidR="00901DE0" w:rsidRDefault="00901DE0" w:rsidP="00901DE0">
      <w:pPr>
        <w:pStyle w:val="Default"/>
        <w:ind w:firstLine="709"/>
        <w:jc w:val="both"/>
        <w:rPr>
          <w:rFonts w:ascii="Palatino Linotype" w:eastAsiaTheme="minorHAnsi" w:hAnsi="Palatino Linotype"/>
          <w:i/>
          <w:sz w:val="20"/>
          <w:szCs w:val="20"/>
          <w:lang w:eastAsia="en-US"/>
        </w:rPr>
      </w:pPr>
      <w:r w:rsidRPr="001C5565">
        <w:rPr>
          <w:rFonts w:ascii="Palatino Linotype" w:hAnsi="Palatino Linotype"/>
          <w:i/>
          <w:sz w:val="20"/>
          <w:szCs w:val="20"/>
          <w:lang w:val="es-MX"/>
        </w:rPr>
        <w:t>Que</w:t>
      </w:r>
      <w:r w:rsidRPr="001C5565">
        <w:rPr>
          <w:rFonts w:ascii="Palatino Linotype" w:hAnsi="Palatino Linotype"/>
          <w:i/>
          <w:sz w:val="20"/>
          <w:szCs w:val="20"/>
        </w:rPr>
        <w:t xml:space="preserve"> </w:t>
      </w:r>
      <w:r>
        <w:rPr>
          <w:rFonts w:ascii="Palatino Linotype" w:eastAsiaTheme="minorHAnsi" w:hAnsi="Palatino Linotype"/>
          <w:i/>
          <w:sz w:val="20"/>
          <w:szCs w:val="20"/>
          <w:lang w:eastAsia="en-US"/>
        </w:rPr>
        <w:t>a los fines de</w:t>
      </w:r>
      <w:r w:rsidRPr="001C5565">
        <w:rPr>
          <w:rFonts w:ascii="Palatino Linotype" w:eastAsiaTheme="minorHAnsi" w:hAnsi="Palatino Linotype"/>
          <w:i/>
          <w:sz w:val="20"/>
          <w:szCs w:val="20"/>
          <w:lang w:eastAsia="en-US"/>
        </w:rPr>
        <w:t xml:space="preserve"> la</w:t>
      </w:r>
      <w:r>
        <w:rPr>
          <w:rFonts w:ascii="Palatino Linotype" w:eastAsiaTheme="minorHAnsi" w:hAnsi="Palatino Linotype"/>
          <w:i/>
          <w:sz w:val="20"/>
          <w:szCs w:val="20"/>
          <w:lang w:eastAsia="en-US"/>
        </w:rPr>
        <w:t xml:space="preserve"> </w:t>
      </w:r>
      <w:proofErr w:type="spellStart"/>
      <w:r>
        <w:rPr>
          <w:rFonts w:ascii="Palatino Linotype" w:eastAsiaTheme="minorHAnsi" w:hAnsi="Palatino Linotype"/>
          <w:i/>
          <w:sz w:val="20"/>
          <w:szCs w:val="20"/>
          <w:lang w:eastAsia="en-US"/>
        </w:rPr>
        <w:t>reexpresión</w:t>
      </w:r>
      <w:proofErr w:type="spellEnd"/>
      <w:r>
        <w:rPr>
          <w:rFonts w:ascii="Palatino Linotype" w:eastAsiaTheme="minorHAnsi" w:hAnsi="Palatino Linotype"/>
          <w:i/>
          <w:sz w:val="20"/>
          <w:szCs w:val="20"/>
          <w:lang w:eastAsia="en-US"/>
        </w:rPr>
        <w:t xml:space="preserve"> de</w:t>
      </w:r>
      <w:r w:rsidRPr="001C5565">
        <w:rPr>
          <w:rFonts w:ascii="Palatino Linotype" w:eastAsiaTheme="minorHAnsi" w:hAnsi="Palatino Linotype"/>
          <w:i/>
          <w:sz w:val="20"/>
          <w:szCs w:val="20"/>
          <w:lang w:eastAsia="en-US"/>
        </w:rPr>
        <w:t xml:space="preserve"> los </w:t>
      </w:r>
      <w:r w:rsidRPr="001C5565">
        <w:rPr>
          <w:rFonts w:ascii="Palatino Linotype" w:eastAsiaTheme="minorHAnsi" w:hAnsi="Palatino Linotype"/>
          <w:bCs/>
          <w:i/>
          <w:sz w:val="20"/>
          <w:szCs w:val="20"/>
          <w:lang w:eastAsia="en-US"/>
        </w:rPr>
        <w:t xml:space="preserve">estados contables </w:t>
      </w:r>
      <w:r>
        <w:rPr>
          <w:rFonts w:ascii="Palatino Linotype" w:eastAsiaTheme="minorHAnsi" w:hAnsi="Palatino Linotype"/>
          <w:bCs/>
          <w:i/>
          <w:sz w:val="20"/>
          <w:szCs w:val="20"/>
          <w:lang w:eastAsia="en-US"/>
        </w:rPr>
        <w:t>para r</w:t>
      </w:r>
      <w:r w:rsidRPr="001C5565">
        <w:rPr>
          <w:rFonts w:ascii="Palatino Linotype" w:eastAsiaTheme="minorHAnsi" w:hAnsi="Palatino Linotype"/>
          <w:i/>
          <w:sz w:val="20"/>
          <w:szCs w:val="20"/>
          <w:lang w:eastAsia="en-US"/>
        </w:rPr>
        <w:t>e</w:t>
      </w:r>
      <w:r>
        <w:rPr>
          <w:rFonts w:ascii="Palatino Linotype" w:eastAsiaTheme="minorHAnsi" w:hAnsi="Palatino Linotype"/>
          <w:i/>
          <w:sz w:val="20"/>
          <w:szCs w:val="20"/>
          <w:lang w:eastAsia="en-US"/>
        </w:rPr>
        <w:t>conocer los cambios en el poder adquisitivo de la moneda la NUA indica que las entidades</w:t>
      </w:r>
      <w:r w:rsidRPr="001C5565">
        <w:rPr>
          <w:rFonts w:ascii="Palatino Linotype" w:eastAsiaTheme="minorHAnsi" w:hAnsi="Palatino Linotype"/>
          <w:i/>
          <w:sz w:val="20"/>
          <w:szCs w:val="20"/>
          <w:lang w:eastAsia="en-US"/>
        </w:rPr>
        <w:t xml:space="preserve"> utilizará</w:t>
      </w:r>
      <w:r>
        <w:rPr>
          <w:rFonts w:ascii="Palatino Linotype" w:eastAsiaTheme="minorHAnsi" w:hAnsi="Palatino Linotype"/>
          <w:i/>
          <w:sz w:val="20"/>
          <w:szCs w:val="20"/>
          <w:lang w:eastAsia="en-US"/>
        </w:rPr>
        <w:t>n</w:t>
      </w:r>
      <w:r w:rsidRPr="001C5565">
        <w:rPr>
          <w:rFonts w:ascii="Palatino Linotype" w:eastAsiaTheme="minorHAnsi" w:hAnsi="Palatino Linotype"/>
          <w:i/>
          <w:sz w:val="20"/>
          <w:szCs w:val="20"/>
          <w:lang w:eastAsia="en-US"/>
        </w:rPr>
        <w:t xml:space="preserve"> el </w:t>
      </w:r>
      <w:r w:rsidRPr="001C5565">
        <w:rPr>
          <w:rFonts w:ascii="Palatino Linotype" w:eastAsiaTheme="minorHAnsi" w:hAnsi="Palatino Linotype"/>
          <w:bCs/>
          <w:i/>
          <w:sz w:val="20"/>
          <w:szCs w:val="20"/>
          <w:lang w:eastAsia="en-US"/>
        </w:rPr>
        <w:t xml:space="preserve">índice de precios </w:t>
      </w:r>
      <w:r>
        <w:rPr>
          <w:rFonts w:ascii="Palatino Linotype" w:eastAsiaTheme="minorHAnsi" w:hAnsi="Palatino Linotype"/>
          <w:bCs/>
          <w:i/>
          <w:sz w:val="20"/>
          <w:szCs w:val="20"/>
          <w:lang w:eastAsia="en-US"/>
        </w:rPr>
        <w:t xml:space="preserve">establecido por la </w:t>
      </w:r>
      <w:r w:rsidRPr="001C5565">
        <w:rPr>
          <w:rFonts w:ascii="Palatino Linotype" w:eastAsiaTheme="minorHAnsi" w:hAnsi="Palatino Linotype"/>
          <w:bCs/>
          <w:i/>
          <w:sz w:val="20"/>
          <w:szCs w:val="20"/>
          <w:lang w:eastAsia="en-US"/>
        </w:rPr>
        <w:t>FACPCE</w:t>
      </w:r>
      <w:r>
        <w:rPr>
          <w:rFonts w:ascii="Palatino Linotype" w:eastAsiaTheme="minorHAnsi" w:hAnsi="Palatino Linotype"/>
          <w:i/>
          <w:sz w:val="20"/>
          <w:szCs w:val="20"/>
          <w:lang w:eastAsia="en-US"/>
        </w:rPr>
        <w:t>, índice que coincide con el vigente en esta jurisdicción desde el mes de cierre del ejercicio anterior al primer ejercicio en el que se procedió a reanudar la aplicación (o, según el caso, aplicar por primera vez) del ajuste por inflación.</w:t>
      </w:r>
    </w:p>
    <w:p w:rsidR="00901DE0" w:rsidRPr="00A51D56" w:rsidRDefault="00901DE0" w:rsidP="00901DE0">
      <w:pPr>
        <w:pStyle w:val="Default"/>
        <w:ind w:firstLine="709"/>
        <w:jc w:val="both"/>
        <w:rPr>
          <w:rFonts w:ascii="Palatino Linotype" w:eastAsiaTheme="minorHAnsi" w:hAnsi="Palatino Linotype"/>
          <w:i/>
          <w:sz w:val="12"/>
          <w:szCs w:val="12"/>
          <w:lang w:eastAsia="en-US"/>
        </w:rPr>
      </w:pPr>
    </w:p>
    <w:p w:rsidR="00901DE0" w:rsidRDefault="00901DE0" w:rsidP="00901DE0">
      <w:pPr>
        <w:pStyle w:val="Default"/>
        <w:ind w:firstLine="709"/>
        <w:jc w:val="both"/>
        <w:rPr>
          <w:rFonts w:ascii="Palatino Linotype" w:eastAsiaTheme="minorHAnsi" w:hAnsi="Palatino Linotype"/>
          <w:i/>
          <w:sz w:val="20"/>
          <w:szCs w:val="20"/>
          <w:lang w:eastAsia="en-US"/>
        </w:rPr>
      </w:pPr>
      <w:r>
        <w:rPr>
          <w:rFonts w:ascii="Palatino Linotype" w:eastAsiaTheme="minorHAnsi" w:hAnsi="Palatino Linotype"/>
          <w:i/>
          <w:sz w:val="20"/>
          <w:szCs w:val="20"/>
          <w:lang w:eastAsia="en-US"/>
        </w:rPr>
        <w:t xml:space="preserve">Que por la Resolución Técnica N° 56 se incorporan en la Norma Unificada Argentina de Contabilidad sus Partes Segunda y Tercera, en las que se abordan, en la Segunda, normas sobre temas particulares tales como, entre otros, conversión de estados contables, preparación de estados contables consolidados, negocios conjuntos, participaciones en subsidiarias, asociadas y negocios conjuntos societarios, instrumentos derivados y operaciones de cobertura, </w:t>
      </w:r>
      <w:proofErr w:type="spellStart"/>
      <w:r>
        <w:rPr>
          <w:rFonts w:ascii="Palatino Linotype" w:eastAsiaTheme="minorHAnsi" w:hAnsi="Palatino Linotype"/>
          <w:i/>
          <w:sz w:val="20"/>
          <w:szCs w:val="20"/>
          <w:lang w:eastAsia="en-US"/>
        </w:rPr>
        <w:t>etc</w:t>
      </w:r>
      <w:proofErr w:type="spellEnd"/>
      <w:r>
        <w:rPr>
          <w:rFonts w:ascii="Palatino Linotype" w:eastAsiaTheme="minorHAnsi" w:hAnsi="Palatino Linotype"/>
          <w:i/>
          <w:sz w:val="20"/>
          <w:szCs w:val="20"/>
          <w:lang w:eastAsia="en-US"/>
        </w:rPr>
        <w:t>;  y en la Tercera, normas específicas referidas a la actividad agropecuaria y a los negocios conjuntos no societarios.</w:t>
      </w:r>
    </w:p>
    <w:p w:rsidR="00901DE0" w:rsidRPr="00A51D56" w:rsidRDefault="00901DE0" w:rsidP="00901DE0">
      <w:pPr>
        <w:pStyle w:val="Default"/>
        <w:ind w:firstLine="709"/>
        <w:jc w:val="both"/>
        <w:rPr>
          <w:rFonts w:ascii="Palatino Linotype" w:eastAsiaTheme="minorHAnsi" w:hAnsi="Palatino Linotype"/>
          <w:i/>
          <w:sz w:val="12"/>
          <w:szCs w:val="12"/>
          <w:lang w:eastAsia="en-US"/>
        </w:rPr>
      </w:pPr>
    </w:p>
    <w:p w:rsidR="00901DE0" w:rsidRDefault="00901DE0" w:rsidP="00901DE0">
      <w:pPr>
        <w:pStyle w:val="Default"/>
        <w:ind w:firstLine="709"/>
        <w:jc w:val="both"/>
        <w:rPr>
          <w:rFonts w:ascii="Palatino Linotype" w:eastAsiaTheme="minorHAnsi" w:hAnsi="Palatino Linotype"/>
          <w:i/>
          <w:sz w:val="20"/>
          <w:szCs w:val="20"/>
          <w:lang w:eastAsia="en-US"/>
        </w:rPr>
      </w:pPr>
      <w:r>
        <w:rPr>
          <w:rFonts w:ascii="Palatino Linotype" w:eastAsiaTheme="minorHAnsi" w:hAnsi="Palatino Linotype"/>
          <w:i/>
          <w:sz w:val="20"/>
          <w:szCs w:val="20"/>
          <w:lang w:eastAsia="en-US"/>
        </w:rPr>
        <w:t xml:space="preserve">Que, asimismo, por la RT N° 56 se agrega un Apéndice con Normas de Transición de aplicación en la preparación de los estados contables correspondientes al primer ejercicio en el que se </w:t>
      </w:r>
      <w:r>
        <w:rPr>
          <w:rFonts w:ascii="Palatino Linotype" w:eastAsiaTheme="minorHAnsi" w:hAnsi="Palatino Linotype"/>
          <w:i/>
          <w:sz w:val="20"/>
          <w:szCs w:val="20"/>
          <w:lang w:eastAsia="en-US"/>
        </w:rPr>
        <w:lastRenderedPageBreak/>
        <w:t>utilice la NUA, así como, en su caso,  en los estados contables de períodos intermedios comprendidos en el mismo.</w:t>
      </w:r>
    </w:p>
    <w:p w:rsidR="00901DE0" w:rsidRPr="00B94A8A" w:rsidRDefault="00901DE0" w:rsidP="00901DE0">
      <w:pPr>
        <w:jc w:val="both"/>
        <w:rPr>
          <w:rFonts w:ascii="Palatino Linotype" w:hAnsi="Palatino Linotype"/>
          <w:i/>
          <w:sz w:val="12"/>
          <w:szCs w:val="12"/>
        </w:rPr>
      </w:pPr>
    </w:p>
    <w:p w:rsidR="00901DE0" w:rsidRDefault="00901DE0" w:rsidP="00901DE0">
      <w:pPr>
        <w:pStyle w:val="Prrafodelista"/>
        <w:ind w:left="0" w:firstLine="709"/>
        <w:jc w:val="both"/>
        <w:rPr>
          <w:rFonts w:ascii="Palatino Linotype" w:hAnsi="Palatino Linotype"/>
          <w:i/>
        </w:rPr>
      </w:pPr>
      <w:r>
        <w:rPr>
          <w:rFonts w:ascii="Palatino Linotype" w:hAnsi="Palatino Linotype"/>
          <w:i/>
        </w:rPr>
        <w:t>Que en jurisdicción de este Consejo Profesional no se encuentran aprobadas las NIIF para las PYMES.</w:t>
      </w:r>
    </w:p>
    <w:p w:rsidR="00901DE0" w:rsidRPr="00A51D56" w:rsidRDefault="00901DE0" w:rsidP="00901DE0">
      <w:pPr>
        <w:pStyle w:val="Prrafodelista"/>
        <w:ind w:left="0" w:firstLine="709"/>
        <w:jc w:val="both"/>
        <w:rPr>
          <w:rFonts w:ascii="Palatino Linotype" w:hAnsi="Palatino Linotype"/>
          <w:i/>
          <w:sz w:val="12"/>
          <w:szCs w:val="12"/>
        </w:rPr>
      </w:pPr>
    </w:p>
    <w:p w:rsidR="00901DE0" w:rsidRDefault="00901DE0" w:rsidP="00901DE0">
      <w:pPr>
        <w:pStyle w:val="Prrafodelista"/>
        <w:ind w:left="0" w:firstLine="709"/>
        <w:jc w:val="both"/>
        <w:rPr>
          <w:rFonts w:ascii="Palatino Linotype" w:hAnsi="Palatino Linotype"/>
          <w:i/>
        </w:rPr>
      </w:pPr>
      <w:r>
        <w:rPr>
          <w:rFonts w:ascii="Palatino Linotype" w:hAnsi="Palatino Linotype"/>
          <w:i/>
        </w:rPr>
        <w:t>Que la Norma Unificada Argentina de Contabilidad [RT N° 54 Texto Ordenado RT N° 56] es el resultado de un extenso trabajo de compilación de la normativa contable emitida por la FACPCE, que en la actualidad se encuentra tratada en diversas resoluciones técnicas e interpretaciones de normas, la cual queda en su gran mayoría comprendida en la NUA, facilitando así la aplicación de las normas contables al encontrarse éstas mayoritariamente contenidas en un único cuerpo normativo.</w:t>
      </w:r>
    </w:p>
    <w:p w:rsidR="00901DE0" w:rsidRPr="00E963CB" w:rsidRDefault="00901DE0" w:rsidP="00901DE0">
      <w:pPr>
        <w:pStyle w:val="Prrafodelista"/>
        <w:ind w:left="0" w:firstLine="709"/>
        <w:jc w:val="both"/>
        <w:rPr>
          <w:rFonts w:ascii="Palatino Linotype" w:hAnsi="Palatino Linotype"/>
          <w:i/>
          <w:sz w:val="12"/>
          <w:szCs w:val="12"/>
        </w:rPr>
      </w:pPr>
    </w:p>
    <w:p w:rsidR="00901DE0" w:rsidRDefault="00901DE0" w:rsidP="00901DE0">
      <w:pPr>
        <w:pStyle w:val="Prrafodelista"/>
        <w:ind w:left="0" w:firstLine="709"/>
        <w:jc w:val="both"/>
        <w:rPr>
          <w:rFonts w:ascii="Palatino Linotype" w:hAnsi="Palatino Linotype"/>
          <w:i/>
        </w:rPr>
      </w:pPr>
      <w:r>
        <w:rPr>
          <w:rFonts w:ascii="Palatino Linotype" w:hAnsi="Palatino Linotype"/>
          <w:i/>
        </w:rPr>
        <w:t>Que la NUA está estructurada y organizada con el objetivo de simplificar su utilización, separando las temáticas técnicas según se trate de cuestiones generales, particulares o específicas, y las primeras de ellas, las generales, abordando los aspectos de aplicación general, luego los requerimientos en materia de clasificación, reconocimiento, medición, presentación y revelación por rubro contable, el reconocimiento de ingresos y otras cuestiones contables determinadas, exponiendo a continuación las normas de presentación  de los estados contables básicos y de revelación en notas.</w:t>
      </w:r>
    </w:p>
    <w:p w:rsidR="00901DE0" w:rsidRPr="00E963CB" w:rsidRDefault="00901DE0" w:rsidP="00901DE0">
      <w:pPr>
        <w:pStyle w:val="Prrafodelista"/>
        <w:ind w:left="0" w:firstLine="709"/>
        <w:jc w:val="both"/>
        <w:rPr>
          <w:rFonts w:ascii="Palatino Linotype" w:hAnsi="Palatino Linotype"/>
          <w:i/>
          <w:sz w:val="12"/>
          <w:szCs w:val="12"/>
        </w:rPr>
      </w:pPr>
    </w:p>
    <w:p w:rsidR="00901DE0" w:rsidRDefault="00901DE0" w:rsidP="00901DE0">
      <w:pPr>
        <w:pStyle w:val="Prrafodelista"/>
        <w:ind w:left="0" w:firstLine="709"/>
        <w:jc w:val="both"/>
        <w:rPr>
          <w:rFonts w:ascii="Palatino Linotype" w:hAnsi="Palatino Linotype"/>
          <w:i/>
        </w:rPr>
      </w:pPr>
      <w:r>
        <w:rPr>
          <w:rFonts w:ascii="Palatino Linotype" w:hAnsi="Palatino Linotype"/>
          <w:i/>
        </w:rPr>
        <w:t>Que además del mencionado cambio en la estructura y organización de la normativa, se incrementan los montos límites para la calificación de las entidades como Ente Pequeño o Ente Mediano y se introducen nuevas simplificaciones contables, así como diversas modificaciones, en general, compatibilizando criterios contables con los de las normas internacionales.</w:t>
      </w:r>
    </w:p>
    <w:p w:rsidR="00901DE0" w:rsidRDefault="00901DE0" w:rsidP="00901DE0">
      <w:pPr>
        <w:pStyle w:val="Prrafodelista"/>
        <w:ind w:left="0" w:firstLine="709"/>
        <w:jc w:val="both"/>
        <w:rPr>
          <w:rFonts w:ascii="Palatino Linotype" w:hAnsi="Palatino Linotype"/>
          <w:i/>
          <w:sz w:val="12"/>
          <w:szCs w:val="12"/>
        </w:rPr>
      </w:pPr>
    </w:p>
    <w:p w:rsidR="00901DE0" w:rsidRDefault="00901DE0" w:rsidP="00901DE0">
      <w:pPr>
        <w:pStyle w:val="Prrafodelista"/>
        <w:spacing w:after="0"/>
        <w:ind w:left="0" w:firstLine="709"/>
        <w:jc w:val="both"/>
        <w:rPr>
          <w:rFonts w:ascii="Palatino Linotype" w:hAnsi="Palatino Linotype"/>
          <w:i/>
        </w:rPr>
      </w:pPr>
      <w:r>
        <w:rPr>
          <w:rFonts w:ascii="Palatino Linotype" w:hAnsi="Palatino Linotype"/>
          <w:i/>
        </w:rPr>
        <w:t xml:space="preserve">Que el conjunto de cambios estructurales, de organización y técnicos que, por medio de la NUA, se incorporan en la normativa contable, requieren que en la determinación de la fecha de inicio de su aplicación con carácter obligatorio se considere un plazo que permita el conocimiento de la norma por parte de la matrícula así como su capacitación. </w:t>
      </w:r>
    </w:p>
    <w:p w:rsidR="00901DE0" w:rsidRPr="00B94A8A" w:rsidRDefault="00901DE0" w:rsidP="00901DE0">
      <w:pPr>
        <w:pStyle w:val="Prrafodelista"/>
        <w:spacing w:after="0"/>
        <w:ind w:left="0" w:firstLine="709"/>
        <w:jc w:val="both"/>
        <w:rPr>
          <w:rFonts w:ascii="Palatino Linotype" w:hAnsi="Palatino Linotype"/>
          <w:i/>
          <w:sz w:val="12"/>
          <w:szCs w:val="12"/>
        </w:rPr>
      </w:pPr>
    </w:p>
    <w:p w:rsidR="00901DE0" w:rsidRDefault="00901DE0" w:rsidP="00901DE0">
      <w:pPr>
        <w:ind w:firstLine="360"/>
        <w:jc w:val="both"/>
        <w:rPr>
          <w:rFonts w:ascii="Palatino Linotype" w:hAnsi="Palatino Linotype"/>
          <w:i/>
          <w:iCs/>
        </w:rPr>
      </w:pPr>
      <w:r>
        <w:rPr>
          <w:rFonts w:ascii="Palatino Linotype" w:hAnsi="Palatino Linotype"/>
          <w:i/>
          <w:iCs/>
        </w:rPr>
        <w:t>Por ello, en uso de las atribuciones que le otorgan el artículo 21 de la Ley 20.488 y los artículos 41 inciso g) y 64 inciso v) de la Ley 10.620, el</w:t>
      </w:r>
    </w:p>
    <w:p w:rsidR="00901DE0" w:rsidRDefault="00901DE0" w:rsidP="00901DE0">
      <w:pPr>
        <w:ind w:firstLine="360"/>
        <w:jc w:val="both"/>
        <w:rPr>
          <w:rFonts w:ascii="Palatino Linotype" w:hAnsi="Palatino Linotype"/>
          <w:i/>
          <w:iCs/>
        </w:rPr>
      </w:pPr>
    </w:p>
    <w:p w:rsidR="00901DE0" w:rsidRDefault="00901DE0" w:rsidP="00901DE0">
      <w:pPr>
        <w:ind w:firstLine="360"/>
        <w:jc w:val="both"/>
        <w:rPr>
          <w:rFonts w:ascii="Palatino Linotype" w:hAnsi="Palatino Linotype"/>
          <w:i/>
          <w:iCs/>
          <w:sz w:val="12"/>
          <w:szCs w:val="12"/>
        </w:rPr>
      </w:pPr>
    </w:p>
    <w:p w:rsidR="00901DE0" w:rsidRPr="00DB65D2" w:rsidRDefault="00901DE0" w:rsidP="00901DE0">
      <w:pPr>
        <w:ind w:firstLine="360"/>
        <w:jc w:val="both"/>
        <w:rPr>
          <w:rFonts w:ascii="Palatino Linotype" w:hAnsi="Palatino Linotype"/>
          <w:i/>
          <w:iCs/>
          <w:sz w:val="12"/>
          <w:szCs w:val="12"/>
        </w:rPr>
      </w:pPr>
    </w:p>
    <w:p w:rsidR="00901DE0" w:rsidRDefault="00901DE0" w:rsidP="00901DE0">
      <w:pPr>
        <w:ind w:firstLine="2977"/>
        <w:jc w:val="both"/>
        <w:rPr>
          <w:rFonts w:ascii="Palatino Linotype" w:hAnsi="Palatino Linotype"/>
          <w:b/>
          <w:i/>
          <w:u w:val="single"/>
          <w:lang w:val="es-MX"/>
        </w:rPr>
      </w:pPr>
      <w:r>
        <w:rPr>
          <w:rFonts w:ascii="Palatino Linotype" w:hAnsi="Palatino Linotype"/>
          <w:b/>
          <w:i/>
          <w:iCs/>
          <w:u w:val="single"/>
        </w:rPr>
        <w:t>CONSEJO DIRECTIVO</w:t>
      </w:r>
    </w:p>
    <w:p w:rsidR="00901DE0" w:rsidRDefault="00901DE0" w:rsidP="00901DE0">
      <w:pPr>
        <w:jc w:val="center"/>
        <w:rPr>
          <w:rFonts w:ascii="Palatino Linotype" w:hAnsi="Palatino Linotype"/>
          <w:b/>
          <w:bCs/>
          <w:i/>
          <w:iCs/>
        </w:rPr>
      </w:pPr>
      <w:r>
        <w:rPr>
          <w:rFonts w:ascii="Palatino Linotype" w:hAnsi="Palatino Linotype"/>
          <w:b/>
          <w:bCs/>
          <w:i/>
          <w:iCs/>
          <w:u w:val="single"/>
        </w:rPr>
        <w:t>RESUELVE</w:t>
      </w:r>
      <w:r>
        <w:rPr>
          <w:rFonts w:ascii="Palatino Linotype" w:hAnsi="Palatino Linotype"/>
          <w:b/>
          <w:bCs/>
          <w:i/>
          <w:iCs/>
        </w:rPr>
        <w:t>:</w:t>
      </w:r>
    </w:p>
    <w:p w:rsidR="00901DE0" w:rsidRDefault="00901DE0" w:rsidP="00901DE0">
      <w:pPr>
        <w:jc w:val="center"/>
        <w:rPr>
          <w:rFonts w:ascii="Palatino Linotype" w:hAnsi="Palatino Linotype"/>
          <w:b/>
          <w:bCs/>
          <w:i/>
          <w:iCs/>
        </w:rPr>
      </w:pPr>
    </w:p>
    <w:p w:rsidR="00901DE0" w:rsidRPr="00DB65D2" w:rsidRDefault="00901DE0" w:rsidP="00901DE0">
      <w:pPr>
        <w:ind w:firstLine="720"/>
        <w:jc w:val="both"/>
        <w:rPr>
          <w:rFonts w:ascii="Palatino Linotype" w:hAnsi="Palatino Linotype"/>
          <w:i/>
          <w:iCs/>
          <w:sz w:val="12"/>
          <w:szCs w:val="12"/>
        </w:rPr>
      </w:pPr>
    </w:p>
    <w:p w:rsidR="00901DE0" w:rsidRDefault="00901DE0" w:rsidP="00901DE0">
      <w:pPr>
        <w:jc w:val="both"/>
        <w:rPr>
          <w:rFonts w:ascii="Palatino Linotype" w:hAnsi="Palatino Linotype"/>
          <w:i/>
        </w:rPr>
      </w:pPr>
      <w:r w:rsidRPr="00917243">
        <w:rPr>
          <w:rFonts w:ascii="Palatino Linotype" w:hAnsi="Palatino Linotype"/>
          <w:b/>
          <w:i/>
          <w:u w:val="single"/>
        </w:rPr>
        <w:t>ARTICULO 1.-</w:t>
      </w:r>
      <w:r w:rsidRPr="00917243">
        <w:rPr>
          <w:rFonts w:ascii="Palatino Linotype" w:hAnsi="Palatino Linotype"/>
          <w:i/>
        </w:rPr>
        <w:t xml:space="preserve"> Aprobar</w:t>
      </w:r>
      <w:r>
        <w:rPr>
          <w:rFonts w:ascii="Palatino Linotype" w:hAnsi="Palatino Linotype"/>
          <w:i/>
        </w:rPr>
        <w:t xml:space="preserve"> la Resolución Técnica N° 54 “Normas Contables Profesionales: Norma Unificada Argentina de Contabilidad”, Texto Ordenado según Resolución Técnica N° 56, con las modificaciones y especificaciones indicadas en los artículos 3° y 4° de la presente, con vigencia obligatoria para estados contables correspondientes a ejercicios iniciados a partir del 1° de enero de 2025, sin exigir su aplicación a los períodos intermedios comprendidos en el primer ejercicio.</w:t>
      </w:r>
    </w:p>
    <w:p w:rsidR="00901DE0" w:rsidRDefault="00901DE0" w:rsidP="00901DE0">
      <w:pPr>
        <w:jc w:val="both"/>
        <w:rPr>
          <w:rFonts w:ascii="Palatino Linotype" w:hAnsi="Palatino Linotype"/>
          <w:i/>
        </w:rPr>
      </w:pPr>
    </w:p>
    <w:p w:rsidR="00901DE0" w:rsidRPr="00DC6C69" w:rsidRDefault="00901DE0" w:rsidP="00901DE0">
      <w:pPr>
        <w:jc w:val="both"/>
        <w:rPr>
          <w:rFonts w:ascii="Palatino Linotype" w:hAnsi="Palatino Linotype"/>
          <w:i/>
        </w:rPr>
      </w:pPr>
      <w:r w:rsidRPr="00917243">
        <w:rPr>
          <w:rFonts w:ascii="Palatino Linotype" w:hAnsi="Palatino Linotype"/>
          <w:b/>
          <w:i/>
          <w:u w:val="single"/>
        </w:rPr>
        <w:lastRenderedPageBreak/>
        <w:t xml:space="preserve">ARTICULO </w:t>
      </w:r>
      <w:r>
        <w:rPr>
          <w:rFonts w:ascii="Palatino Linotype" w:hAnsi="Palatino Linotype"/>
          <w:b/>
          <w:i/>
          <w:u w:val="single"/>
        </w:rPr>
        <w:t>2</w:t>
      </w:r>
      <w:r w:rsidRPr="00917243">
        <w:rPr>
          <w:rFonts w:ascii="Palatino Linotype" w:hAnsi="Palatino Linotype"/>
          <w:b/>
          <w:i/>
          <w:u w:val="single"/>
        </w:rPr>
        <w:t>.-</w:t>
      </w:r>
      <w:r w:rsidRPr="00DC6C69">
        <w:rPr>
          <w:rFonts w:ascii="Palatino Linotype" w:hAnsi="Palatino Linotype"/>
          <w:b/>
          <w:i/>
        </w:rPr>
        <w:t xml:space="preserve"> </w:t>
      </w:r>
      <w:r>
        <w:rPr>
          <w:rFonts w:ascii="Palatino Linotype" w:hAnsi="Palatino Linotype"/>
          <w:i/>
        </w:rPr>
        <w:t>Se admitirá la aplicación anticipada de la Resolución Técnica N° 54, Texto Ordenado según Resolución Técnica N° 56, para los estados contables correspondientes a ejercicios iniciados a partir del 1° de julio de 2024 inclusive, sin exigir su aplicación a los períodos intermedios comprendidos en el primer ejercicio.</w:t>
      </w:r>
    </w:p>
    <w:p w:rsidR="00901DE0" w:rsidRPr="00917243" w:rsidRDefault="00901DE0" w:rsidP="00901DE0">
      <w:pPr>
        <w:jc w:val="both"/>
        <w:rPr>
          <w:rFonts w:ascii="Palatino Linotype" w:hAnsi="Palatino Linotype"/>
          <w:i/>
        </w:rPr>
      </w:pPr>
    </w:p>
    <w:p w:rsidR="00901DE0" w:rsidRDefault="00901DE0" w:rsidP="00901DE0">
      <w:pPr>
        <w:jc w:val="both"/>
        <w:rPr>
          <w:rFonts w:ascii="Palatino Linotype" w:hAnsi="Palatino Linotype"/>
          <w:i/>
        </w:rPr>
      </w:pPr>
      <w:proofErr w:type="gramStart"/>
      <w:r w:rsidRPr="00917243">
        <w:rPr>
          <w:rFonts w:ascii="Palatino Linotype" w:hAnsi="Palatino Linotype"/>
          <w:b/>
          <w:i/>
          <w:u w:val="single"/>
        </w:rPr>
        <w:t>ARTICULO</w:t>
      </w:r>
      <w:proofErr w:type="gramEnd"/>
      <w:r w:rsidRPr="00917243">
        <w:rPr>
          <w:rFonts w:ascii="Palatino Linotype" w:hAnsi="Palatino Linotype"/>
          <w:b/>
          <w:i/>
          <w:u w:val="single"/>
        </w:rPr>
        <w:t xml:space="preserve"> </w:t>
      </w:r>
      <w:r>
        <w:rPr>
          <w:rFonts w:ascii="Palatino Linotype" w:hAnsi="Palatino Linotype"/>
          <w:b/>
          <w:i/>
          <w:u w:val="single"/>
        </w:rPr>
        <w:t>3</w:t>
      </w:r>
      <w:r w:rsidRPr="00917243">
        <w:rPr>
          <w:rFonts w:ascii="Palatino Linotype" w:hAnsi="Palatino Linotype"/>
          <w:b/>
          <w:i/>
          <w:u w:val="single"/>
        </w:rPr>
        <w:t>.-</w:t>
      </w:r>
      <w:r w:rsidRPr="00917243">
        <w:rPr>
          <w:rFonts w:ascii="Palatino Linotype" w:hAnsi="Palatino Linotype"/>
          <w:i/>
        </w:rPr>
        <w:t xml:space="preserve"> </w:t>
      </w:r>
      <w:r>
        <w:rPr>
          <w:rFonts w:ascii="Palatino Linotype" w:hAnsi="Palatino Linotype"/>
          <w:i/>
        </w:rPr>
        <w:t>Modificar el texto de los párrafos 3, 6, 7 y 8 –primera parte- de la Resolución Técnica   N° 54 (T.O. s/ RT N° 56), los que quedarán redactados como se indica a continuación:</w:t>
      </w:r>
    </w:p>
    <w:p w:rsidR="00901DE0" w:rsidRDefault="00901DE0" w:rsidP="00901DE0">
      <w:pPr>
        <w:jc w:val="both"/>
        <w:rPr>
          <w:rFonts w:ascii="Palatino Linotype" w:hAnsi="Palatino Linotype"/>
          <w:i/>
        </w:rPr>
      </w:pPr>
    </w:p>
    <w:p w:rsidR="00901DE0" w:rsidRDefault="00901DE0" w:rsidP="00901DE0">
      <w:pPr>
        <w:tabs>
          <w:tab w:val="left" w:pos="284"/>
        </w:tabs>
        <w:ind w:left="284" w:hanging="284"/>
        <w:jc w:val="both"/>
        <w:rPr>
          <w:rFonts w:ascii="Palatino Linotype" w:hAnsi="Palatino Linotype"/>
          <w:i/>
        </w:rPr>
      </w:pPr>
      <w:r>
        <w:rPr>
          <w:rFonts w:ascii="Palatino Linotype" w:hAnsi="Palatino Linotype"/>
          <w:i/>
        </w:rPr>
        <w:t xml:space="preserve">“3. </w:t>
      </w:r>
      <w:r w:rsidRPr="00C8717A">
        <w:rPr>
          <w:rFonts w:ascii="Palatino Linotype" w:hAnsi="Palatino Linotype"/>
          <w:i/>
        </w:rPr>
        <w:t>Una entidad aplicará esta Resolución Técnica si no aplica la Resolución Técnica Nº 26 [“Adopción de las Normas Internacionales de Información Financiera (NIIF) del Consejo de Normas Internacionales de Contabilidad (IASB)”].</w:t>
      </w:r>
      <w:r>
        <w:rPr>
          <w:rFonts w:ascii="Palatino Linotype" w:hAnsi="Palatino Linotype"/>
          <w:i/>
        </w:rPr>
        <w:t>”</w:t>
      </w:r>
    </w:p>
    <w:p w:rsidR="00901DE0" w:rsidRDefault="00901DE0" w:rsidP="00901DE0">
      <w:pPr>
        <w:jc w:val="both"/>
        <w:rPr>
          <w:rFonts w:ascii="Palatino Linotype" w:hAnsi="Palatino Linotype"/>
          <w:i/>
        </w:rPr>
      </w:pPr>
    </w:p>
    <w:p w:rsidR="00901DE0" w:rsidRPr="00AC23FF" w:rsidRDefault="00901DE0" w:rsidP="00901DE0">
      <w:pPr>
        <w:jc w:val="both"/>
        <w:rPr>
          <w:rFonts w:ascii="Palatino Linotype" w:hAnsi="Palatino Linotype"/>
          <w:i/>
        </w:rPr>
      </w:pPr>
      <w:r>
        <w:rPr>
          <w:rFonts w:ascii="Palatino Linotype" w:hAnsi="Palatino Linotype"/>
          <w:i/>
        </w:rPr>
        <w:t>“</w:t>
      </w:r>
      <w:r w:rsidRPr="00AC23FF">
        <w:rPr>
          <w:rFonts w:ascii="Palatino Linotype" w:hAnsi="Palatino Linotype"/>
          <w:i/>
        </w:rPr>
        <w:t>6. A los fines de esta Resolución Técnica u otras normas contables, una entidad es pequeña si:</w:t>
      </w:r>
    </w:p>
    <w:p w:rsidR="00901DE0" w:rsidRPr="00AC23FF" w:rsidRDefault="00901DE0" w:rsidP="00901DE0">
      <w:pPr>
        <w:ind w:left="284"/>
        <w:jc w:val="both"/>
        <w:rPr>
          <w:rFonts w:ascii="Palatino Linotype" w:hAnsi="Palatino Linotype"/>
          <w:i/>
        </w:rPr>
      </w:pPr>
      <w:r w:rsidRPr="00AC23FF">
        <w:rPr>
          <w:rFonts w:ascii="Palatino Linotype" w:hAnsi="Palatino Linotype"/>
          <w:i/>
        </w:rPr>
        <w:t>a) en el ejercicio actual:</w:t>
      </w:r>
    </w:p>
    <w:p w:rsidR="00901DE0" w:rsidRPr="00AC23FF" w:rsidRDefault="00901DE0" w:rsidP="00901DE0">
      <w:pPr>
        <w:ind w:left="993" w:hanging="284"/>
        <w:jc w:val="both"/>
        <w:rPr>
          <w:rFonts w:ascii="Palatino Linotype" w:hAnsi="Palatino Linotype"/>
          <w:i/>
        </w:rPr>
      </w:pPr>
      <w:r w:rsidRPr="00AC23FF">
        <w:rPr>
          <w:rFonts w:ascii="Palatino Linotype" w:hAnsi="Palatino Linotype"/>
          <w:i/>
        </w:rPr>
        <w:t>(i) no está alcanzada por la Ley de Entidades Financieras y no realiza operaciones de capitalización o ahorro ni requiere recursos del público con promesa de prestaciones o beneficios futuros;</w:t>
      </w:r>
    </w:p>
    <w:p w:rsidR="00901DE0" w:rsidRPr="00AC23FF" w:rsidRDefault="00901DE0" w:rsidP="00901DE0">
      <w:pPr>
        <w:ind w:left="993" w:hanging="284"/>
        <w:jc w:val="both"/>
        <w:rPr>
          <w:rFonts w:ascii="Palatino Linotype" w:hAnsi="Palatino Linotype"/>
          <w:i/>
        </w:rPr>
      </w:pPr>
      <w:r w:rsidRPr="00AC23FF">
        <w:rPr>
          <w:rFonts w:ascii="Palatino Linotype" w:hAnsi="Palatino Linotype"/>
          <w:i/>
        </w:rPr>
        <w:t>(</w:t>
      </w:r>
      <w:proofErr w:type="spellStart"/>
      <w:r w:rsidRPr="00AC23FF">
        <w:rPr>
          <w:rFonts w:ascii="Palatino Linotype" w:hAnsi="Palatino Linotype"/>
          <w:i/>
        </w:rPr>
        <w:t>ii</w:t>
      </w:r>
      <w:proofErr w:type="spellEnd"/>
      <w:r w:rsidRPr="00AC23FF">
        <w:rPr>
          <w:rFonts w:ascii="Palatino Linotype" w:hAnsi="Palatino Linotype"/>
          <w:i/>
        </w:rPr>
        <w:t>) no es una entidad aseguradora bajo el control de la Superintendencia de Seguros de la Nación;</w:t>
      </w:r>
    </w:p>
    <w:p w:rsidR="00901DE0" w:rsidRDefault="00901DE0" w:rsidP="00901DE0">
      <w:pPr>
        <w:ind w:left="709"/>
        <w:jc w:val="both"/>
        <w:rPr>
          <w:rFonts w:ascii="Palatino Linotype" w:hAnsi="Palatino Linotype"/>
          <w:i/>
        </w:rPr>
      </w:pPr>
      <w:r w:rsidRPr="00AC23FF">
        <w:rPr>
          <w:rFonts w:ascii="Palatino Linotype" w:hAnsi="Palatino Linotype"/>
          <w:i/>
        </w:rPr>
        <w:t>(</w:t>
      </w:r>
      <w:proofErr w:type="spellStart"/>
      <w:r w:rsidRPr="00AC23FF">
        <w:rPr>
          <w:rFonts w:ascii="Palatino Linotype" w:hAnsi="Palatino Linotype"/>
          <w:i/>
        </w:rPr>
        <w:t>iii</w:t>
      </w:r>
      <w:proofErr w:type="spellEnd"/>
      <w:r w:rsidRPr="00AC23FF">
        <w:rPr>
          <w:rFonts w:ascii="Palatino Linotype" w:hAnsi="Palatino Linotype"/>
          <w:i/>
        </w:rPr>
        <w:t>) no es una sociedad anónima con participación estatal mayoritaria o de economía mixta;</w:t>
      </w:r>
    </w:p>
    <w:p w:rsidR="00901DE0" w:rsidRDefault="00901DE0" w:rsidP="00901DE0">
      <w:pPr>
        <w:ind w:left="709"/>
        <w:jc w:val="both"/>
        <w:rPr>
          <w:rFonts w:ascii="Palatino Linotype" w:hAnsi="Palatino Linotype"/>
          <w:i/>
        </w:rPr>
      </w:pPr>
    </w:p>
    <w:p w:rsidR="00901DE0" w:rsidRDefault="00901DE0" w:rsidP="00901DE0">
      <w:pPr>
        <w:ind w:left="426" w:hanging="142"/>
        <w:jc w:val="both"/>
        <w:rPr>
          <w:rFonts w:ascii="Palatino Linotype" w:hAnsi="Palatino Linotype"/>
          <w:i/>
        </w:rPr>
      </w:pPr>
      <w:r w:rsidRPr="00AC23FF">
        <w:rPr>
          <w:rFonts w:ascii="Palatino Linotype" w:hAnsi="Palatino Linotype"/>
          <w:i/>
        </w:rPr>
        <w:t xml:space="preserve">b) en el ejercicio inmediato anterior obtuvo ingresos iguales o inferiores </w:t>
      </w:r>
      <w:r>
        <w:rPr>
          <w:rFonts w:ascii="Palatino Linotype" w:hAnsi="Palatino Linotype"/>
          <w:i/>
        </w:rPr>
        <w:t xml:space="preserve">a pesos seiscientos cincuenta millones ($ 650.000.000) –importe expresado en poder adquisitivo del mes de octubre de 2022- </w:t>
      </w:r>
      <w:r w:rsidRPr="00AC23FF">
        <w:rPr>
          <w:rFonts w:ascii="Palatino Linotype" w:hAnsi="Palatino Linotype"/>
          <w:i/>
        </w:rPr>
        <w:t>; y</w:t>
      </w:r>
    </w:p>
    <w:p w:rsidR="00901DE0" w:rsidRPr="00AC23FF" w:rsidRDefault="00901DE0" w:rsidP="00901DE0">
      <w:pPr>
        <w:ind w:left="284"/>
        <w:jc w:val="both"/>
        <w:rPr>
          <w:rFonts w:ascii="Palatino Linotype" w:hAnsi="Palatino Linotype"/>
          <w:i/>
        </w:rPr>
      </w:pPr>
    </w:p>
    <w:p w:rsidR="00901DE0" w:rsidRPr="00AC23FF" w:rsidRDefault="00901DE0" w:rsidP="00901DE0">
      <w:pPr>
        <w:ind w:left="284"/>
        <w:jc w:val="both"/>
        <w:rPr>
          <w:rFonts w:ascii="Palatino Linotype" w:hAnsi="Palatino Linotype"/>
          <w:i/>
        </w:rPr>
      </w:pPr>
      <w:r w:rsidRPr="00AC23FF">
        <w:rPr>
          <w:rFonts w:ascii="Palatino Linotype" w:hAnsi="Palatino Linotype"/>
          <w:i/>
        </w:rPr>
        <w:t>c) no se trata de una entidad:</w:t>
      </w:r>
    </w:p>
    <w:p w:rsidR="00901DE0" w:rsidRPr="00AC23FF" w:rsidRDefault="00901DE0" w:rsidP="00901DE0">
      <w:pPr>
        <w:ind w:left="709"/>
        <w:jc w:val="both"/>
        <w:rPr>
          <w:rFonts w:ascii="Palatino Linotype" w:hAnsi="Palatino Linotype"/>
          <w:i/>
        </w:rPr>
      </w:pPr>
      <w:r w:rsidRPr="00AC23FF">
        <w:rPr>
          <w:rFonts w:ascii="Palatino Linotype" w:hAnsi="Palatino Linotype"/>
          <w:i/>
        </w:rPr>
        <w:t xml:space="preserve">(i) </w:t>
      </w:r>
      <w:r>
        <w:rPr>
          <w:rFonts w:ascii="Palatino Linotype" w:hAnsi="Palatino Linotype"/>
          <w:i/>
        </w:rPr>
        <w:t xml:space="preserve"> </w:t>
      </w:r>
      <w:r w:rsidRPr="00AC23FF">
        <w:rPr>
          <w:rFonts w:ascii="Palatino Linotype" w:hAnsi="Palatino Linotype"/>
          <w:i/>
        </w:rPr>
        <w:t>controladora de otra entidad excluida por los incisos anteriores del presente párrafo.</w:t>
      </w:r>
    </w:p>
    <w:p w:rsidR="00901DE0" w:rsidRDefault="00901DE0" w:rsidP="00901DE0">
      <w:pPr>
        <w:ind w:left="709"/>
        <w:jc w:val="both"/>
        <w:rPr>
          <w:rFonts w:ascii="Palatino Linotype" w:hAnsi="Palatino Linotype"/>
          <w:i/>
        </w:rPr>
      </w:pPr>
      <w:r w:rsidRPr="00AC23FF">
        <w:rPr>
          <w:rFonts w:ascii="Palatino Linotype" w:hAnsi="Palatino Linotype"/>
          <w:i/>
        </w:rPr>
        <w:t>(</w:t>
      </w:r>
      <w:proofErr w:type="spellStart"/>
      <w:proofErr w:type="gramStart"/>
      <w:r w:rsidRPr="00AC23FF">
        <w:rPr>
          <w:rFonts w:ascii="Palatino Linotype" w:hAnsi="Palatino Linotype"/>
          <w:i/>
        </w:rPr>
        <w:t>ii</w:t>
      </w:r>
      <w:proofErr w:type="spellEnd"/>
      <w:proofErr w:type="gramEnd"/>
      <w:r w:rsidRPr="00AC23FF">
        <w:rPr>
          <w:rFonts w:ascii="Palatino Linotype" w:hAnsi="Palatino Linotype"/>
          <w:i/>
        </w:rPr>
        <w:t>) controlada por otra entidad excluida por los incisos anteriores del presente párrafo.</w:t>
      </w:r>
      <w:r>
        <w:rPr>
          <w:rFonts w:ascii="Palatino Linotype" w:hAnsi="Palatino Linotype"/>
          <w:i/>
        </w:rPr>
        <w:t>”</w:t>
      </w:r>
    </w:p>
    <w:p w:rsidR="00901DE0" w:rsidRDefault="00901DE0" w:rsidP="00901DE0">
      <w:pPr>
        <w:ind w:left="709"/>
        <w:jc w:val="both"/>
        <w:rPr>
          <w:rFonts w:ascii="Palatino Linotype" w:hAnsi="Palatino Linotype"/>
          <w:i/>
        </w:rPr>
      </w:pPr>
    </w:p>
    <w:p w:rsidR="00901DE0" w:rsidRPr="0072062B" w:rsidRDefault="00901DE0" w:rsidP="00901DE0">
      <w:pPr>
        <w:ind w:left="709" w:hanging="709"/>
        <w:jc w:val="both"/>
        <w:rPr>
          <w:rFonts w:ascii="Palatino Linotype" w:hAnsi="Palatino Linotype"/>
          <w:i/>
        </w:rPr>
      </w:pPr>
      <w:r>
        <w:rPr>
          <w:rFonts w:ascii="Palatino Linotype" w:hAnsi="Palatino Linotype"/>
          <w:i/>
        </w:rPr>
        <w:t>“</w:t>
      </w:r>
      <w:r w:rsidRPr="0072062B">
        <w:rPr>
          <w:rFonts w:ascii="Palatino Linotype" w:hAnsi="Palatino Linotype"/>
          <w:i/>
        </w:rPr>
        <w:t>7. A los fines de esta Resolución Técnica u otras normas contables, una entidad es mediana si:</w:t>
      </w:r>
    </w:p>
    <w:p w:rsidR="00901DE0" w:rsidRPr="0072062B" w:rsidRDefault="00901DE0" w:rsidP="00901DE0">
      <w:pPr>
        <w:ind w:left="709" w:hanging="425"/>
        <w:jc w:val="both"/>
        <w:rPr>
          <w:rFonts w:ascii="Palatino Linotype" w:hAnsi="Palatino Linotype"/>
          <w:i/>
        </w:rPr>
      </w:pPr>
      <w:r w:rsidRPr="0072062B">
        <w:rPr>
          <w:rFonts w:ascii="Palatino Linotype" w:hAnsi="Palatino Linotype"/>
          <w:i/>
        </w:rPr>
        <w:t>a) en el ejercicio actual:</w:t>
      </w:r>
    </w:p>
    <w:p w:rsidR="00901DE0" w:rsidRPr="0072062B" w:rsidRDefault="00901DE0" w:rsidP="00901DE0">
      <w:pPr>
        <w:ind w:left="993" w:hanging="284"/>
        <w:jc w:val="both"/>
        <w:rPr>
          <w:rFonts w:ascii="Palatino Linotype" w:hAnsi="Palatino Linotype"/>
          <w:i/>
        </w:rPr>
      </w:pPr>
      <w:r w:rsidRPr="0072062B">
        <w:rPr>
          <w:rFonts w:ascii="Palatino Linotype" w:hAnsi="Palatino Linotype"/>
          <w:i/>
        </w:rPr>
        <w:t>(i) no está alcanzada por la Ley de Entidades Financieras y no realiza operaciones de capitalización o ahorro ni requiere recursos del público con promesa de prestaciones o beneficios futuros;</w:t>
      </w:r>
    </w:p>
    <w:p w:rsidR="00901DE0" w:rsidRPr="0072062B" w:rsidRDefault="00901DE0" w:rsidP="00901DE0">
      <w:pPr>
        <w:ind w:left="993" w:hanging="284"/>
        <w:jc w:val="both"/>
        <w:rPr>
          <w:rFonts w:ascii="Palatino Linotype" w:hAnsi="Palatino Linotype"/>
          <w:i/>
        </w:rPr>
      </w:pPr>
      <w:r w:rsidRPr="0072062B">
        <w:rPr>
          <w:rFonts w:ascii="Palatino Linotype" w:hAnsi="Palatino Linotype"/>
          <w:i/>
        </w:rPr>
        <w:t>(</w:t>
      </w:r>
      <w:proofErr w:type="spellStart"/>
      <w:r w:rsidRPr="0072062B">
        <w:rPr>
          <w:rFonts w:ascii="Palatino Linotype" w:hAnsi="Palatino Linotype"/>
          <w:i/>
        </w:rPr>
        <w:t>ii</w:t>
      </w:r>
      <w:proofErr w:type="spellEnd"/>
      <w:r w:rsidRPr="0072062B">
        <w:rPr>
          <w:rFonts w:ascii="Palatino Linotype" w:hAnsi="Palatino Linotype"/>
          <w:i/>
        </w:rPr>
        <w:t>) no es una entidad aseguradora bajo el control de la Superintendencia de Seguros de la Nación;</w:t>
      </w:r>
    </w:p>
    <w:p w:rsidR="00901DE0" w:rsidRDefault="00901DE0" w:rsidP="00901DE0">
      <w:pPr>
        <w:ind w:left="709"/>
        <w:jc w:val="both"/>
        <w:rPr>
          <w:rFonts w:ascii="Palatino Linotype" w:hAnsi="Palatino Linotype"/>
          <w:i/>
        </w:rPr>
      </w:pPr>
      <w:r w:rsidRPr="0072062B">
        <w:rPr>
          <w:rFonts w:ascii="Palatino Linotype" w:hAnsi="Palatino Linotype"/>
          <w:i/>
        </w:rPr>
        <w:t>(</w:t>
      </w:r>
      <w:proofErr w:type="spellStart"/>
      <w:r w:rsidRPr="0072062B">
        <w:rPr>
          <w:rFonts w:ascii="Palatino Linotype" w:hAnsi="Palatino Linotype"/>
          <w:i/>
        </w:rPr>
        <w:t>iii</w:t>
      </w:r>
      <w:proofErr w:type="spellEnd"/>
      <w:r w:rsidRPr="0072062B">
        <w:rPr>
          <w:rFonts w:ascii="Palatino Linotype" w:hAnsi="Palatino Linotype"/>
          <w:i/>
        </w:rPr>
        <w:t>) no es una sociedad anónima con participación estatal mayoritaria o de economía mixta;</w:t>
      </w:r>
    </w:p>
    <w:p w:rsidR="00901DE0" w:rsidRPr="0072062B" w:rsidRDefault="00901DE0" w:rsidP="00901DE0">
      <w:pPr>
        <w:ind w:left="709"/>
        <w:jc w:val="both"/>
        <w:rPr>
          <w:rFonts w:ascii="Palatino Linotype" w:hAnsi="Palatino Linotype"/>
          <w:i/>
        </w:rPr>
      </w:pPr>
    </w:p>
    <w:p w:rsidR="00901DE0" w:rsidRPr="0072062B" w:rsidRDefault="00901DE0" w:rsidP="00901DE0">
      <w:pPr>
        <w:ind w:left="709" w:hanging="425"/>
        <w:jc w:val="both"/>
        <w:rPr>
          <w:rFonts w:ascii="Palatino Linotype" w:hAnsi="Palatino Linotype"/>
          <w:i/>
        </w:rPr>
      </w:pPr>
      <w:r w:rsidRPr="0072062B">
        <w:rPr>
          <w:rFonts w:ascii="Palatino Linotype" w:hAnsi="Palatino Linotype"/>
          <w:i/>
        </w:rPr>
        <w:t>b) en el ejercicio inmediato anterior obtuvo ingresos:</w:t>
      </w:r>
    </w:p>
    <w:p w:rsidR="00901DE0" w:rsidRPr="0072062B" w:rsidRDefault="00901DE0" w:rsidP="00901DE0">
      <w:pPr>
        <w:ind w:left="993" w:hanging="142"/>
        <w:jc w:val="both"/>
        <w:rPr>
          <w:rFonts w:ascii="Palatino Linotype" w:hAnsi="Palatino Linotype"/>
          <w:i/>
        </w:rPr>
      </w:pPr>
      <w:r w:rsidRPr="0072062B">
        <w:rPr>
          <w:rFonts w:ascii="Palatino Linotype" w:hAnsi="Palatino Linotype"/>
          <w:i/>
        </w:rPr>
        <w:t xml:space="preserve">(i) </w:t>
      </w:r>
      <w:r>
        <w:rPr>
          <w:rFonts w:ascii="Palatino Linotype" w:hAnsi="Palatino Linotype"/>
          <w:i/>
        </w:rPr>
        <w:t xml:space="preserve"> </w:t>
      </w:r>
      <w:proofErr w:type="gramStart"/>
      <w:r w:rsidRPr="0072062B">
        <w:rPr>
          <w:rFonts w:ascii="Palatino Linotype" w:hAnsi="Palatino Linotype"/>
          <w:i/>
        </w:rPr>
        <w:t>superiores</w:t>
      </w:r>
      <w:proofErr w:type="gramEnd"/>
      <w:r w:rsidRPr="0072062B">
        <w:rPr>
          <w:rFonts w:ascii="Palatino Linotype" w:hAnsi="Palatino Linotype"/>
          <w:i/>
        </w:rPr>
        <w:t xml:space="preserve"> a </w:t>
      </w:r>
      <w:r>
        <w:rPr>
          <w:rFonts w:ascii="Palatino Linotype" w:hAnsi="Palatino Linotype"/>
          <w:i/>
        </w:rPr>
        <w:t>pesos seiscientos cincuenta millones ($ 650.000.000)</w:t>
      </w:r>
      <w:r w:rsidRPr="00A05471">
        <w:rPr>
          <w:rFonts w:ascii="Palatino Linotype" w:hAnsi="Palatino Linotype"/>
          <w:i/>
        </w:rPr>
        <w:t xml:space="preserve"> </w:t>
      </w:r>
      <w:r>
        <w:rPr>
          <w:rFonts w:ascii="Palatino Linotype" w:hAnsi="Palatino Linotype"/>
          <w:i/>
        </w:rPr>
        <w:t>–importe expresado en poder adquisitivo del mes de octubre de 2022-</w:t>
      </w:r>
      <w:r w:rsidRPr="0072062B">
        <w:rPr>
          <w:rFonts w:ascii="Palatino Linotype" w:hAnsi="Palatino Linotype"/>
          <w:i/>
        </w:rPr>
        <w:t>, de acuerdo con el inciso b) del párrafo inmediato anterior; y</w:t>
      </w:r>
    </w:p>
    <w:p w:rsidR="00901DE0" w:rsidRDefault="00901DE0" w:rsidP="00901DE0">
      <w:pPr>
        <w:ind w:left="1134" w:hanging="283"/>
        <w:jc w:val="both"/>
        <w:rPr>
          <w:rFonts w:ascii="Palatino Linotype" w:hAnsi="Palatino Linotype"/>
          <w:i/>
        </w:rPr>
      </w:pPr>
      <w:r w:rsidRPr="0072062B">
        <w:rPr>
          <w:rFonts w:ascii="Palatino Linotype" w:hAnsi="Palatino Linotype"/>
          <w:i/>
        </w:rPr>
        <w:lastRenderedPageBreak/>
        <w:t>(</w:t>
      </w:r>
      <w:proofErr w:type="spellStart"/>
      <w:r w:rsidRPr="0072062B">
        <w:rPr>
          <w:rFonts w:ascii="Palatino Linotype" w:hAnsi="Palatino Linotype"/>
          <w:i/>
        </w:rPr>
        <w:t>ii</w:t>
      </w:r>
      <w:proofErr w:type="spellEnd"/>
      <w:r w:rsidRPr="0072062B">
        <w:rPr>
          <w:rFonts w:ascii="Palatino Linotype" w:hAnsi="Palatino Linotype"/>
          <w:i/>
        </w:rPr>
        <w:t>) menores o iguales a</w:t>
      </w:r>
      <w:r>
        <w:rPr>
          <w:rFonts w:ascii="Palatino Linotype" w:hAnsi="Palatino Linotype"/>
          <w:i/>
        </w:rPr>
        <w:t xml:space="preserve"> pesos tres mil doscientos cincuenta millones ($ 3.250.000.000)</w:t>
      </w:r>
      <w:r w:rsidRPr="00A05471">
        <w:rPr>
          <w:rFonts w:ascii="Palatino Linotype" w:hAnsi="Palatino Linotype"/>
          <w:i/>
        </w:rPr>
        <w:t xml:space="preserve"> </w:t>
      </w:r>
      <w:r>
        <w:rPr>
          <w:rFonts w:ascii="Palatino Linotype" w:hAnsi="Palatino Linotype"/>
          <w:i/>
        </w:rPr>
        <w:t>–importe expresado en poder adquisitivo del mes de octubre de 2022-</w:t>
      </w:r>
      <w:r w:rsidRPr="0072062B">
        <w:rPr>
          <w:rFonts w:ascii="Palatino Linotype" w:hAnsi="Palatino Linotype"/>
          <w:i/>
        </w:rPr>
        <w:t>; y</w:t>
      </w:r>
    </w:p>
    <w:p w:rsidR="00901DE0" w:rsidRPr="0072062B" w:rsidRDefault="00901DE0" w:rsidP="00901DE0">
      <w:pPr>
        <w:ind w:left="709" w:hanging="709"/>
        <w:jc w:val="both"/>
        <w:rPr>
          <w:rFonts w:ascii="Palatino Linotype" w:hAnsi="Palatino Linotype"/>
          <w:i/>
        </w:rPr>
      </w:pPr>
    </w:p>
    <w:p w:rsidR="00901DE0" w:rsidRPr="0072062B" w:rsidRDefault="00901DE0" w:rsidP="00901DE0">
      <w:pPr>
        <w:ind w:left="709" w:hanging="425"/>
        <w:jc w:val="both"/>
        <w:rPr>
          <w:rFonts w:ascii="Palatino Linotype" w:hAnsi="Palatino Linotype"/>
          <w:i/>
        </w:rPr>
      </w:pPr>
      <w:r w:rsidRPr="0072062B">
        <w:rPr>
          <w:rFonts w:ascii="Palatino Linotype" w:hAnsi="Palatino Linotype"/>
          <w:i/>
        </w:rPr>
        <w:t>c) no se trata de una entidad:</w:t>
      </w:r>
    </w:p>
    <w:p w:rsidR="00901DE0" w:rsidRPr="0072062B" w:rsidRDefault="00901DE0" w:rsidP="00901DE0">
      <w:pPr>
        <w:ind w:left="709" w:firstLine="284"/>
        <w:jc w:val="both"/>
        <w:rPr>
          <w:rFonts w:ascii="Palatino Linotype" w:hAnsi="Palatino Linotype"/>
          <w:i/>
        </w:rPr>
      </w:pPr>
      <w:r w:rsidRPr="0072062B">
        <w:rPr>
          <w:rFonts w:ascii="Palatino Linotype" w:hAnsi="Palatino Linotype"/>
          <w:i/>
        </w:rPr>
        <w:t>(i) controladora de otra entidad excluida por los incisos anteriores del presente párrafo.</w:t>
      </w:r>
    </w:p>
    <w:p w:rsidR="00901DE0" w:rsidRDefault="00901DE0" w:rsidP="00901DE0">
      <w:pPr>
        <w:ind w:left="709" w:firstLine="284"/>
        <w:jc w:val="both"/>
        <w:rPr>
          <w:rFonts w:ascii="Palatino Linotype" w:hAnsi="Palatino Linotype"/>
          <w:i/>
        </w:rPr>
      </w:pPr>
      <w:r w:rsidRPr="0072062B">
        <w:rPr>
          <w:rFonts w:ascii="Palatino Linotype" w:hAnsi="Palatino Linotype"/>
          <w:i/>
        </w:rPr>
        <w:t>(</w:t>
      </w:r>
      <w:proofErr w:type="spellStart"/>
      <w:proofErr w:type="gramStart"/>
      <w:r w:rsidRPr="0072062B">
        <w:rPr>
          <w:rFonts w:ascii="Palatino Linotype" w:hAnsi="Palatino Linotype"/>
          <w:i/>
        </w:rPr>
        <w:t>ii</w:t>
      </w:r>
      <w:proofErr w:type="spellEnd"/>
      <w:proofErr w:type="gramEnd"/>
      <w:r w:rsidRPr="0072062B">
        <w:rPr>
          <w:rFonts w:ascii="Palatino Linotype" w:hAnsi="Palatino Linotype"/>
          <w:i/>
        </w:rPr>
        <w:t>) controlada por otra entidad excluida por los incisos anteriores del presente párrafo.</w:t>
      </w:r>
      <w:r>
        <w:rPr>
          <w:rFonts w:ascii="Palatino Linotype" w:hAnsi="Palatino Linotype"/>
          <w:i/>
        </w:rPr>
        <w:t>”</w:t>
      </w:r>
    </w:p>
    <w:p w:rsidR="00901DE0" w:rsidRDefault="00901DE0" w:rsidP="00901DE0">
      <w:pPr>
        <w:ind w:left="709"/>
        <w:jc w:val="both"/>
        <w:rPr>
          <w:rFonts w:ascii="Palatino Linotype" w:hAnsi="Palatino Linotype"/>
          <w:i/>
        </w:rPr>
      </w:pPr>
    </w:p>
    <w:p w:rsidR="00901DE0" w:rsidRDefault="00901DE0" w:rsidP="00901DE0">
      <w:pPr>
        <w:jc w:val="both"/>
        <w:rPr>
          <w:rFonts w:ascii="Palatino Linotype" w:hAnsi="Palatino Linotype"/>
          <w:i/>
        </w:rPr>
      </w:pPr>
      <w:r>
        <w:rPr>
          <w:rFonts w:ascii="Palatino Linotype" w:hAnsi="Palatino Linotype"/>
          <w:i/>
        </w:rPr>
        <w:t>“8. Los importes establecidos de acuerdo con los párrafos 6 o 7 están expresados en poder adquisitivo de un determinado mes.”</w:t>
      </w:r>
    </w:p>
    <w:p w:rsidR="00901DE0" w:rsidRDefault="00901DE0" w:rsidP="00901DE0">
      <w:pPr>
        <w:jc w:val="both"/>
        <w:rPr>
          <w:rFonts w:ascii="Palatino Linotype" w:hAnsi="Palatino Linotype"/>
          <w:i/>
        </w:rPr>
      </w:pPr>
    </w:p>
    <w:p w:rsidR="00901DE0" w:rsidRDefault="00901DE0" w:rsidP="00901DE0">
      <w:pPr>
        <w:jc w:val="both"/>
        <w:rPr>
          <w:rFonts w:ascii="Palatino Linotype" w:hAnsi="Palatino Linotype"/>
          <w:i/>
        </w:rPr>
      </w:pPr>
      <w:r w:rsidRPr="00917243">
        <w:rPr>
          <w:rFonts w:ascii="Palatino Linotype" w:hAnsi="Palatino Linotype"/>
          <w:b/>
          <w:i/>
          <w:u w:val="single"/>
        </w:rPr>
        <w:t xml:space="preserve">ARTICULO </w:t>
      </w:r>
      <w:r>
        <w:rPr>
          <w:rFonts w:ascii="Palatino Linotype" w:hAnsi="Palatino Linotype"/>
          <w:b/>
          <w:i/>
          <w:u w:val="single"/>
        </w:rPr>
        <w:t>4</w:t>
      </w:r>
      <w:r w:rsidRPr="00917243">
        <w:rPr>
          <w:rFonts w:ascii="Palatino Linotype" w:hAnsi="Palatino Linotype"/>
          <w:b/>
          <w:i/>
          <w:u w:val="single"/>
        </w:rPr>
        <w:t>.-</w:t>
      </w:r>
      <w:r w:rsidRPr="006F2ED4">
        <w:rPr>
          <w:rFonts w:ascii="Palatino Linotype" w:hAnsi="Palatino Linotype"/>
          <w:i/>
        </w:rPr>
        <w:t xml:space="preserve"> </w:t>
      </w:r>
      <w:r>
        <w:rPr>
          <w:rFonts w:ascii="Palatino Linotype" w:hAnsi="Palatino Linotype"/>
          <w:i/>
        </w:rPr>
        <w:t xml:space="preserve">Para realizar la </w:t>
      </w:r>
      <w:proofErr w:type="spellStart"/>
      <w:r>
        <w:rPr>
          <w:rFonts w:ascii="Palatino Linotype" w:hAnsi="Palatino Linotype"/>
          <w:i/>
        </w:rPr>
        <w:t>reexpresión</w:t>
      </w:r>
      <w:proofErr w:type="spellEnd"/>
      <w:r>
        <w:rPr>
          <w:rFonts w:ascii="Palatino Linotype" w:hAnsi="Palatino Linotype"/>
          <w:i/>
        </w:rPr>
        <w:t xml:space="preserve"> de las cifras de los estados contables a efectos de reconocer el cambio en el poder adquisitivo de la moneda, se admitirá la aplicación tanto del índice determinado de acuerdo a la metodología indicada en el Art. 7° de la Resolución MD N° 2883 como el índice establecido por la FACPCE.</w:t>
      </w:r>
    </w:p>
    <w:p w:rsidR="00901DE0" w:rsidRDefault="00901DE0" w:rsidP="00901DE0">
      <w:pPr>
        <w:jc w:val="both"/>
        <w:rPr>
          <w:rFonts w:ascii="Palatino Linotype" w:hAnsi="Palatino Linotype"/>
          <w:i/>
        </w:rPr>
      </w:pPr>
    </w:p>
    <w:p w:rsidR="00901DE0" w:rsidRDefault="00901DE0" w:rsidP="00901DE0">
      <w:pPr>
        <w:jc w:val="both"/>
        <w:rPr>
          <w:rFonts w:ascii="Palatino Linotype" w:hAnsi="Palatino Linotype"/>
          <w:i/>
        </w:rPr>
      </w:pPr>
      <w:proofErr w:type="gramStart"/>
      <w:r w:rsidRPr="00917243">
        <w:rPr>
          <w:rFonts w:ascii="Palatino Linotype" w:hAnsi="Palatino Linotype"/>
          <w:b/>
          <w:i/>
          <w:u w:val="single"/>
        </w:rPr>
        <w:t>ARTICULO</w:t>
      </w:r>
      <w:proofErr w:type="gramEnd"/>
      <w:r w:rsidRPr="00917243">
        <w:rPr>
          <w:rFonts w:ascii="Palatino Linotype" w:hAnsi="Palatino Linotype"/>
          <w:b/>
          <w:i/>
          <w:u w:val="single"/>
        </w:rPr>
        <w:t xml:space="preserve"> </w:t>
      </w:r>
      <w:r>
        <w:rPr>
          <w:rFonts w:ascii="Palatino Linotype" w:hAnsi="Palatino Linotype"/>
          <w:b/>
          <w:i/>
          <w:u w:val="single"/>
        </w:rPr>
        <w:t>5</w:t>
      </w:r>
      <w:r w:rsidRPr="00917243">
        <w:rPr>
          <w:rFonts w:ascii="Palatino Linotype" w:hAnsi="Palatino Linotype"/>
          <w:b/>
          <w:i/>
          <w:u w:val="single"/>
        </w:rPr>
        <w:t>.-</w:t>
      </w:r>
      <w:r w:rsidRPr="00BA38C1">
        <w:rPr>
          <w:rFonts w:ascii="Palatino Linotype" w:hAnsi="Palatino Linotype"/>
          <w:b/>
          <w:i/>
        </w:rPr>
        <w:t xml:space="preserve"> </w:t>
      </w:r>
      <w:r>
        <w:rPr>
          <w:rFonts w:ascii="Palatino Linotype" w:hAnsi="Palatino Linotype"/>
          <w:i/>
        </w:rPr>
        <w:t xml:space="preserve"> Derogar, para los estados contables a partir de los cuales corresponde</w:t>
      </w:r>
      <w:r w:rsidRPr="00BA38C1">
        <w:rPr>
          <w:rFonts w:ascii="Palatino Linotype" w:hAnsi="Palatino Linotype"/>
          <w:i/>
        </w:rPr>
        <w:t xml:space="preserve"> de la </w:t>
      </w:r>
      <w:r>
        <w:rPr>
          <w:rFonts w:ascii="Palatino Linotype" w:hAnsi="Palatino Linotype"/>
          <w:i/>
        </w:rPr>
        <w:t xml:space="preserve">aplicación </w:t>
      </w:r>
      <w:r w:rsidRPr="00BA38C1">
        <w:rPr>
          <w:rFonts w:ascii="Palatino Linotype" w:hAnsi="Palatino Linotype"/>
          <w:i/>
        </w:rPr>
        <w:t xml:space="preserve">obligatoria de la </w:t>
      </w:r>
      <w:r>
        <w:rPr>
          <w:rFonts w:ascii="Palatino Linotype" w:hAnsi="Palatino Linotype"/>
          <w:i/>
        </w:rPr>
        <w:t>RT N° 54 (T.O. s/ RT N° 56), las siguientes normas:</w:t>
      </w:r>
    </w:p>
    <w:p w:rsidR="00901DE0" w:rsidRDefault="00901DE0" w:rsidP="00901DE0">
      <w:pPr>
        <w:jc w:val="both"/>
        <w:rPr>
          <w:rFonts w:ascii="Palatino Linotype" w:hAnsi="Palatino Linotype"/>
          <w:i/>
        </w:rPr>
      </w:pPr>
    </w:p>
    <w:p w:rsidR="00901DE0" w:rsidRPr="00271A5B" w:rsidRDefault="00901DE0" w:rsidP="00901DE0">
      <w:pPr>
        <w:pStyle w:val="Prrafodelista"/>
        <w:numPr>
          <w:ilvl w:val="0"/>
          <w:numId w:val="2"/>
        </w:numPr>
        <w:jc w:val="both"/>
        <w:rPr>
          <w:rFonts w:ascii="Palatino Linotype" w:hAnsi="Palatino Linotype"/>
          <w:i/>
        </w:rPr>
      </w:pPr>
      <w:r w:rsidRPr="00271A5B">
        <w:rPr>
          <w:rFonts w:ascii="Palatino Linotype" w:hAnsi="Palatino Linotype"/>
          <w:i/>
        </w:rPr>
        <w:t>Resoluciones Técnicas 6, 8, 9, 11, 14, 17, 18, 21, 22, 23, 41, 42 y 48 y las Interpretaciones de normas profesionales N° 1, 2, 3, 7, 8 y 11, en ambos casos, conforme han sido oportunamente aprobadas y</w:t>
      </w:r>
      <w:r>
        <w:rPr>
          <w:rFonts w:ascii="Palatino Linotype" w:hAnsi="Palatino Linotype"/>
          <w:i/>
        </w:rPr>
        <w:t>, en su caso,</w:t>
      </w:r>
      <w:r w:rsidRPr="00271A5B">
        <w:rPr>
          <w:rFonts w:ascii="Palatino Linotype" w:hAnsi="Palatino Linotype"/>
          <w:i/>
        </w:rPr>
        <w:t xml:space="preserve"> modificadas por este Consejo Profesional;</w:t>
      </w:r>
    </w:p>
    <w:p w:rsidR="00901DE0" w:rsidRDefault="00901DE0" w:rsidP="00901DE0">
      <w:pPr>
        <w:pStyle w:val="Prrafodelista"/>
        <w:numPr>
          <w:ilvl w:val="0"/>
          <w:numId w:val="2"/>
        </w:numPr>
        <w:jc w:val="both"/>
        <w:rPr>
          <w:rFonts w:ascii="Palatino Linotype" w:hAnsi="Palatino Linotype"/>
          <w:i/>
        </w:rPr>
      </w:pPr>
      <w:r w:rsidRPr="00271A5B">
        <w:rPr>
          <w:rFonts w:ascii="Palatino Linotype" w:hAnsi="Palatino Linotype"/>
          <w:i/>
        </w:rPr>
        <w:t xml:space="preserve"> Normas de Aplicación N° 18, 35, 40, 63, 70, 71, 72, 73, 74, 76, 92, 93, 94, 95, 96, 97, 98, 101,</w:t>
      </w:r>
      <w:r>
        <w:rPr>
          <w:rFonts w:ascii="Palatino Linotype" w:hAnsi="Palatino Linotype"/>
          <w:i/>
        </w:rPr>
        <w:t xml:space="preserve"> 102, 104, 106, 108, 109 y 110;</w:t>
      </w:r>
    </w:p>
    <w:p w:rsidR="00901DE0" w:rsidRDefault="00901DE0" w:rsidP="00901DE0">
      <w:pPr>
        <w:pStyle w:val="Prrafodelista"/>
        <w:numPr>
          <w:ilvl w:val="0"/>
          <w:numId w:val="2"/>
        </w:numPr>
        <w:jc w:val="both"/>
        <w:rPr>
          <w:rFonts w:ascii="Palatino Linotype" w:hAnsi="Palatino Linotype"/>
          <w:i/>
        </w:rPr>
      </w:pPr>
      <w:r>
        <w:rPr>
          <w:rFonts w:ascii="Palatino Linotype" w:hAnsi="Palatino Linotype"/>
          <w:i/>
        </w:rPr>
        <w:t>Los Artículos 2, 5 y 6 de la Resolución CD 2883, los apartados 3.7 y 3.8, así como las secciones 4, 6, 7 y 9 de su Anexo I y su Anexo II; y</w:t>
      </w:r>
    </w:p>
    <w:p w:rsidR="00901DE0" w:rsidRDefault="00901DE0" w:rsidP="00901DE0">
      <w:pPr>
        <w:pStyle w:val="Prrafodelista"/>
        <w:numPr>
          <w:ilvl w:val="0"/>
          <w:numId w:val="2"/>
        </w:numPr>
        <w:jc w:val="both"/>
        <w:rPr>
          <w:rFonts w:ascii="Palatino Linotype" w:hAnsi="Palatino Linotype"/>
          <w:i/>
        </w:rPr>
      </w:pPr>
      <w:r>
        <w:rPr>
          <w:rFonts w:ascii="Palatino Linotype" w:hAnsi="Palatino Linotype"/>
          <w:i/>
        </w:rPr>
        <w:t>T</w:t>
      </w:r>
      <w:r w:rsidRPr="00271A5B">
        <w:rPr>
          <w:rFonts w:ascii="Palatino Linotype" w:hAnsi="Palatino Linotype"/>
          <w:i/>
        </w:rPr>
        <w:t>oda resolución emitida por este Consejo modificatoria o reglamentaria de las normas contables que quedarán sin efecto conforme lo indicado en el presente</w:t>
      </w:r>
      <w:r>
        <w:rPr>
          <w:rFonts w:ascii="Palatino Linotype" w:hAnsi="Palatino Linotype"/>
          <w:i/>
        </w:rPr>
        <w:t>.</w:t>
      </w:r>
    </w:p>
    <w:p w:rsidR="00901DE0" w:rsidRPr="002A3074" w:rsidRDefault="00901DE0" w:rsidP="00901DE0">
      <w:pPr>
        <w:jc w:val="both"/>
        <w:rPr>
          <w:rFonts w:ascii="Palatino Linotype" w:hAnsi="Palatino Linotype" w:cs="Arial"/>
          <w:i/>
        </w:rPr>
      </w:pPr>
    </w:p>
    <w:p w:rsidR="00901DE0" w:rsidRPr="002A3074" w:rsidRDefault="00901DE0" w:rsidP="00901DE0">
      <w:pPr>
        <w:jc w:val="both"/>
        <w:rPr>
          <w:rFonts w:ascii="Palatino Linotype" w:hAnsi="Palatino Linotype"/>
          <w:i/>
          <w:iCs/>
        </w:rPr>
      </w:pPr>
      <w:r w:rsidRPr="002A3074">
        <w:rPr>
          <w:rFonts w:ascii="Palatino Linotype" w:hAnsi="Palatino Linotype"/>
          <w:b/>
          <w:bCs/>
          <w:i/>
          <w:u w:val="single"/>
        </w:rPr>
        <w:t xml:space="preserve">ARTICULO </w:t>
      </w:r>
      <w:r>
        <w:rPr>
          <w:rFonts w:ascii="Palatino Linotype" w:hAnsi="Palatino Linotype"/>
          <w:b/>
          <w:bCs/>
          <w:i/>
          <w:u w:val="single"/>
        </w:rPr>
        <w:t>5</w:t>
      </w:r>
      <w:r w:rsidRPr="002A3074">
        <w:rPr>
          <w:rFonts w:ascii="Palatino Linotype" w:hAnsi="Palatino Linotype"/>
          <w:b/>
          <w:bCs/>
          <w:i/>
          <w:u w:val="single"/>
        </w:rPr>
        <w:t>.-</w:t>
      </w:r>
      <w:r w:rsidRPr="002A3074">
        <w:rPr>
          <w:rFonts w:ascii="Palatino Linotype" w:hAnsi="Palatino Linotype" w:cs="Arial"/>
          <w:i/>
        </w:rPr>
        <w:t xml:space="preserve"> </w:t>
      </w:r>
      <w:r w:rsidRPr="002A3074">
        <w:rPr>
          <w:rFonts w:ascii="Palatino Linotype" w:hAnsi="Palatino Linotype"/>
          <w:i/>
          <w:iCs/>
        </w:rPr>
        <w:t>Regístrese</w:t>
      </w:r>
      <w:r>
        <w:rPr>
          <w:rFonts w:ascii="Palatino Linotype" w:hAnsi="Palatino Linotype"/>
          <w:i/>
          <w:iCs/>
        </w:rPr>
        <w:t>. C</w:t>
      </w:r>
      <w:r w:rsidRPr="002A3074">
        <w:rPr>
          <w:rFonts w:ascii="Palatino Linotype" w:hAnsi="Palatino Linotype"/>
          <w:i/>
          <w:iCs/>
        </w:rPr>
        <w:t>omuníquese</w:t>
      </w:r>
      <w:r>
        <w:rPr>
          <w:rFonts w:ascii="Palatino Linotype" w:hAnsi="Palatino Linotype"/>
          <w:i/>
          <w:iCs/>
        </w:rPr>
        <w:t>. Cumplido,</w:t>
      </w:r>
      <w:r w:rsidRPr="002A3074">
        <w:rPr>
          <w:rFonts w:ascii="Palatino Linotype" w:hAnsi="Palatino Linotype"/>
          <w:i/>
          <w:iCs/>
        </w:rPr>
        <w:t xml:space="preserve"> archívese.</w:t>
      </w:r>
    </w:p>
    <w:p w:rsidR="00901DE0" w:rsidRDefault="00901DE0" w:rsidP="00901DE0">
      <w:pPr>
        <w:jc w:val="both"/>
        <w:rPr>
          <w:rFonts w:ascii="Palatino Linotype" w:hAnsi="Palatino Linotype"/>
          <w:b/>
          <w:bCs/>
          <w:i/>
          <w:iCs/>
          <w:sz w:val="16"/>
          <w:szCs w:val="16"/>
          <w:u w:val="single"/>
        </w:rPr>
      </w:pPr>
      <w:r w:rsidRPr="00C44724">
        <w:rPr>
          <w:rFonts w:ascii="Palatino Linotype" w:hAnsi="Palatino Linotype"/>
          <w:b/>
          <w:bCs/>
          <w:i/>
          <w:iCs/>
          <w:sz w:val="16"/>
          <w:szCs w:val="16"/>
          <w:u w:val="single"/>
        </w:rPr>
        <w:t xml:space="preserve">Acta CD </w:t>
      </w:r>
      <w:r w:rsidR="00A1482F">
        <w:rPr>
          <w:rFonts w:ascii="Palatino Linotype" w:hAnsi="Palatino Linotype"/>
          <w:b/>
          <w:bCs/>
          <w:i/>
          <w:iCs/>
          <w:sz w:val="16"/>
          <w:szCs w:val="16"/>
          <w:u w:val="single"/>
        </w:rPr>
        <w:t xml:space="preserve"> 933</w:t>
      </w:r>
      <w:r w:rsidRPr="00C44724">
        <w:rPr>
          <w:rFonts w:ascii="Palatino Linotype" w:hAnsi="Palatino Linotype"/>
          <w:b/>
          <w:bCs/>
          <w:i/>
          <w:iCs/>
          <w:sz w:val="16"/>
          <w:szCs w:val="16"/>
          <w:u w:val="single"/>
        </w:rPr>
        <w:t xml:space="preserve">– </w:t>
      </w:r>
      <w:r w:rsidR="00A1482F">
        <w:rPr>
          <w:rFonts w:ascii="Palatino Linotype" w:hAnsi="Palatino Linotype"/>
          <w:b/>
          <w:bCs/>
          <w:i/>
          <w:iCs/>
          <w:sz w:val="16"/>
          <w:szCs w:val="16"/>
          <w:u w:val="single"/>
        </w:rPr>
        <w:t>15</w:t>
      </w:r>
      <w:r>
        <w:rPr>
          <w:rFonts w:ascii="Palatino Linotype" w:hAnsi="Palatino Linotype"/>
          <w:b/>
          <w:bCs/>
          <w:i/>
          <w:iCs/>
          <w:sz w:val="16"/>
          <w:szCs w:val="16"/>
          <w:u w:val="single"/>
        </w:rPr>
        <w:t>/</w:t>
      </w:r>
      <w:r w:rsidR="00A1482F">
        <w:rPr>
          <w:rFonts w:ascii="Palatino Linotype" w:hAnsi="Palatino Linotype"/>
          <w:b/>
          <w:bCs/>
          <w:i/>
          <w:iCs/>
          <w:sz w:val="16"/>
          <w:szCs w:val="16"/>
          <w:u w:val="single"/>
        </w:rPr>
        <w:t>12/2023</w:t>
      </w:r>
    </w:p>
    <w:p w:rsidR="00A1482F" w:rsidRPr="00A1482F" w:rsidRDefault="00A1482F" w:rsidP="00901DE0">
      <w:pPr>
        <w:jc w:val="both"/>
        <w:rPr>
          <w:rFonts w:ascii="Palatino Linotype" w:hAnsi="Palatino Linotype"/>
          <w:bCs/>
          <w:i/>
          <w:iCs/>
          <w:sz w:val="16"/>
          <w:szCs w:val="16"/>
        </w:rPr>
      </w:pPr>
      <w:r w:rsidRPr="00A1482F">
        <w:rPr>
          <w:rFonts w:ascii="Palatino Linotype" w:hAnsi="Palatino Linotype"/>
          <w:bCs/>
          <w:i/>
          <w:iCs/>
          <w:sz w:val="16"/>
          <w:szCs w:val="16"/>
        </w:rPr>
        <w:t>CGG</w:t>
      </w:r>
    </w:p>
    <w:p w:rsidR="00A1482F" w:rsidRDefault="00A1482F" w:rsidP="00901DE0">
      <w:pPr>
        <w:jc w:val="both"/>
        <w:rPr>
          <w:rFonts w:ascii="Palatino Linotype" w:hAnsi="Palatino Linotype"/>
          <w:b/>
          <w:bCs/>
          <w:i/>
          <w:iCs/>
          <w:sz w:val="16"/>
          <w:szCs w:val="16"/>
          <w:u w:val="single"/>
        </w:rPr>
      </w:pPr>
    </w:p>
    <w:p w:rsidR="00A1482F" w:rsidRDefault="00A1482F" w:rsidP="00901DE0">
      <w:pPr>
        <w:jc w:val="both"/>
        <w:rPr>
          <w:rFonts w:ascii="Palatino Linotype" w:hAnsi="Palatino Linotype"/>
          <w:b/>
          <w:bCs/>
          <w:i/>
          <w:iCs/>
          <w:sz w:val="16"/>
          <w:szCs w:val="16"/>
          <w:u w:val="single"/>
        </w:rPr>
      </w:pPr>
    </w:p>
    <w:p w:rsidR="00A1482F" w:rsidRDefault="00A1482F" w:rsidP="00901DE0">
      <w:pPr>
        <w:jc w:val="both"/>
        <w:rPr>
          <w:rFonts w:ascii="Palatino Linotype" w:hAnsi="Palatino Linotype"/>
          <w:b/>
          <w:bCs/>
          <w:i/>
          <w:iCs/>
          <w:sz w:val="16"/>
          <w:szCs w:val="16"/>
          <w:u w:val="single"/>
        </w:rPr>
      </w:pPr>
    </w:p>
    <w:p w:rsidR="00A1482F" w:rsidRDefault="00A1482F" w:rsidP="00901DE0">
      <w:pPr>
        <w:jc w:val="both"/>
        <w:rPr>
          <w:rFonts w:ascii="Palatino Linotype" w:hAnsi="Palatino Linotype"/>
          <w:b/>
          <w:bCs/>
          <w:i/>
          <w:iCs/>
          <w:sz w:val="16"/>
          <w:szCs w:val="16"/>
          <w:u w:val="single"/>
        </w:rPr>
      </w:pPr>
    </w:p>
    <w:p w:rsidR="00A1482F" w:rsidRDefault="00A1482F" w:rsidP="00901DE0">
      <w:pPr>
        <w:jc w:val="both"/>
        <w:rPr>
          <w:rFonts w:ascii="Palatino Linotype" w:hAnsi="Palatino Linotype"/>
          <w:b/>
          <w:bCs/>
          <w:i/>
          <w:iCs/>
          <w:sz w:val="16"/>
          <w:szCs w:val="16"/>
          <w:u w:val="single"/>
        </w:rPr>
      </w:pPr>
    </w:p>
    <w:p w:rsidR="00A1482F" w:rsidRDefault="00A1482F" w:rsidP="00901DE0">
      <w:pPr>
        <w:jc w:val="both"/>
        <w:rPr>
          <w:rFonts w:ascii="Palatino Linotype" w:hAnsi="Palatino Linotype"/>
          <w:b/>
          <w:bCs/>
          <w:i/>
          <w:iCs/>
          <w:sz w:val="16"/>
          <w:szCs w:val="16"/>
          <w:u w:val="single"/>
        </w:rPr>
      </w:pPr>
    </w:p>
    <w:p w:rsidR="00A1482F" w:rsidRDefault="00A1482F" w:rsidP="00901DE0">
      <w:pPr>
        <w:jc w:val="both"/>
        <w:rPr>
          <w:rFonts w:ascii="Palatino Linotype" w:hAnsi="Palatino Linotype"/>
          <w:b/>
          <w:bCs/>
          <w:i/>
          <w:iCs/>
          <w:sz w:val="16"/>
          <w:szCs w:val="16"/>
          <w:u w:val="single"/>
        </w:rPr>
      </w:pPr>
    </w:p>
    <w:tbl>
      <w:tblPr>
        <w:tblW w:w="5000" w:type="pct"/>
        <w:shd w:val="clear" w:color="auto" w:fill="FFFFFF"/>
        <w:tblCellMar>
          <w:left w:w="0" w:type="dxa"/>
          <w:right w:w="0" w:type="dxa"/>
        </w:tblCellMar>
        <w:tblLook w:val="04A0"/>
      </w:tblPr>
      <w:tblGrid>
        <w:gridCol w:w="2786"/>
        <w:gridCol w:w="2787"/>
        <w:gridCol w:w="2787"/>
      </w:tblGrid>
      <w:tr w:rsidR="00A1482F" w:rsidRPr="00A97607" w:rsidTr="00A1482F">
        <w:tc>
          <w:tcPr>
            <w:tcW w:w="1650" w:type="pct"/>
            <w:shd w:val="clear" w:color="auto" w:fill="FFFFFF"/>
            <w:tcMar>
              <w:top w:w="0" w:type="dxa"/>
              <w:left w:w="70" w:type="dxa"/>
              <w:bottom w:w="0" w:type="dxa"/>
              <w:right w:w="70" w:type="dxa"/>
            </w:tcMar>
            <w:hideMark/>
          </w:tcPr>
          <w:p w:rsidR="00A1482F" w:rsidRPr="00A97607" w:rsidRDefault="00A1482F" w:rsidP="00A1482F">
            <w:pPr>
              <w:jc w:val="center"/>
              <w:rPr>
                <w:rFonts w:ascii="Calibri" w:hAnsi="Calibri" w:cs="Calibri"/>
                <w:color w:val="222222"/>
                <w:lang w:eastAsia="es-AR"/>
              </w:rPr>
            </w:pPr>
            <w:r w:rsidRPr="00A97607">
              <w:rPr>
                <w:rFonts w:ascii="Palatino Linotype" w:hAnsi="Palatino Linotype" w:cs="Calibri"/>
                <w:b/>
                <w:bCs/>
                <w:i/>
                <w:iCs/>
                <w:color w:val="222222"/>
                <w:sz w:val="16"/>
                <w:szCs w:val="16"/>
                <w:lang w:eastAsia="es-AR"/>
              </w:rPr>
              <w:t>Dra. Diana S. Valente</w:t>
            </w:r>
          </w:p>
          <w:p w:rsidR="00A1482F" w:rsidRPr="00A97607" w:rsidRDefault="00A1482F" w:rsidP="00A1482F">
            <w:pPr>
              <w:jc w:val="center"/>
              <w:rPr>
                <w:rFonts w:ascii="Calibri" w:hAnsi="Calibri" w:cs="Calibri"/>
                <w:color w:val="222222"/>
                <w:lang w:eastAsia="es-AR"/>
              </w:rPr>
            </w:pPr>
            <w:r w:rsidRPr="00A97607">
              <w:rPr>
                <w:rFonts w:ascii="Palatino Linotype" w:hAnsi="Palatino Linotype" w:cs="Calibri"/>
                <w:b/>
                <w:bCs/>
                <w:i/>
                <w:iCs/>
                <w:color w:val="222222"/>
                <w:sz w:val="16"/>
                <w:szCs w:val="16"/>
                <w:lang w:eastAsia="es-AR"/>
              </w:rPr>
              <w:t>Contador Público</w:t>
            </w:r>
          </w:p>
          <w:p w:rsidR="00A1482F" w:rsidRPr="00A97607" w:rsidRDefault="00A1482F" w:rsidP="00A1482F">
            <w:pPr>
              <w:jc w:val="center"/>
              <w:rPr>
                <w:rFonts w:ascii="Calibri" w:hAnsi="Calibri" w:cs="Calibri"/>
                <w:color w:val="222222"/>
                <w:lang w:eastAsia="es-AR"/>
              </w:rPr>
            </w:pPr>
            <w:r w:rsidRPr="00A97607">
              <w:rPr>
                <w:rFonts w:ascii="Palatino Linotype" w:hAnsi="Palatino Linotype" w:cs="Calibri"/>
                <w:b/>
                <w:bCs/>
                <w:i/>
                <w:iCs/>
                <w:color w:val="222222"/>
                <w:sz w:val="16"/>
                <w:szCs w:val="16"/>
                <w:lang w:eastAsia="es-AR"/>
              </w:rPr>
              <w:t>Secretaria General</w:t>
            </w:r>
          </w:p>
        </w:tc>
        <w:tc>
          <w:tcPr>
            <w:tcW w:w="1650" w:type="pct"/>
            <w:shd w:val="clear" w:color="auto" w:fill="FFFFFF"/>
            <w:tcMar>
              <w:top w:w="0" w:type="dxa"/>
              <w:left w:w="70" w:type="dxa"/>
              <w:bottom w:w="0" w:type="dxa"/>
              <w:right w:w="70" w:type="dxa"/>
            </w:tcMar>
            <w:hideMark/>
          </w:tcPr>
          <w:p w:rsidR="00A1482F" w:rsidRPr="00A97607" w:rsidRDefault="00A1482F" w:rsidP="00A1482F">
            <w:pPr>
              <w:jc w:val="center"/>
              <w:rPr>
                <w:rFonts w:ascii="Calibri" w:hAnsi="Calibri" w:cs="Calibri"/>
                <w:color w:val="222222"/>
                <w:lang w:eastAsia="es-AR"/>
              </w:rPr>
            </w:pPr>
            <w:r w:rsidRPr="00A97607">
              <w:rPr>
                <w:rFonts w:ascii="Palatino Linotype" w:hAnsi="Palatino Linotype" w:cs="Calibri"/>
                <w:b/>
                <w:bCs/>
                <w:i/>
                <w:iCs/>
                <w:color w:val="222222"/>
                <w:sz w:val="16"/>
                <w:szCs w:val="16"/>
                <w:lang w:eastAsia="es-AR"/>
              </w:rPr>
              <w:t> </w:t>
            </w:r>
          </w:p>
          <w:p w:rsidR="00A1482F" w:rsidRPr="00A97607" w:rsidRDefault="00A1482F" w:rsidP="00A1482F">
            <w:pPr>
              <w:jc w:val="center"/>
              <w:rPr>
                <w:rFonts w:ascii="Calibri" w:hAnsi="Calibri" w:cs="Calibri"/>
                <w:color w:val="222222"/>
                <w:lang w:eastAsia="es-AR"/>
              </w:rPr>
            </w:pPr>
            <w:r w:rsidRPr="00A97607">
              <w:rPr>
                <w:rFonts w:ascii="Palatino Linotype" w:hAnsi="Palatino Linotype" w:cs="Calibri"/>
                <w:b/>
                <w:bCs/>
                <w:i/>
                <w:iCs/>
                <w:color w:val="222222"/>
                <w:sz w:val="16"/>
                <w:szCs w:val="16"/>
                <w:lang w:eastAsia="es-AR"/>
              </w:rPr>
              <w:t> </w:t>
            </w:r>
          </w:p>
          <w:p w:rsidR="00A1482F" w:rsidRPr="00A97607" w:rsidRDefault="00A1482F" w:rsidP="00A1482F">
            <w:pPr>
              <w:jc w:val="center"/>
              <w:rPr>
                <w:rFonts w:ascii="Calibri" w:hAnsi="Calibri" w:cs="Calibri"/>
                <w:color w:val="222222"/>
                <w:lang w:eastAsia="es-AR"/>
              </w:rPr>
            </w:pPr>
            <w:r w:rsidRPr="00A97607">
              <w:rPr>
                <w:rFonts w:ascii="Palatino Linotype" w:hAnsi="Palatino Linotype" w:cs="Calibri"/>
                <w:b/>
                <w:bCs/>
                <w:i/>
                <w:iCs/>
                <w:color w:val="222222"/>
                <w:sz w:val="16"/>
                <w:szCs w:val="16"/>
                <w:lang w:eastAsia="es-AR"/>
              </w:rPr>
              <w:t> </w:t>
            </w:r>
          </w:p>
          <w:p w:rsidR="00A1482F" w:rsidRPr="00A97607" w:rsidRDefault="00A1482F" w:rsidP="00A1482F">
            <w:pPr>
              <w:jc w:val="center"/>
              <w:rPr>
                <w:rFonts w:ascii="Calibri" w:hAnsi="Calibri" w:cs="Calibri"/>
                <w:color w:val="222222"/>
                <w:lang w:eastAsia="es-AR"/>
              </w:rPr>
            </w:pPr>
            <w:r w:rsidRPr="00A97607">
              <w:rPr>
                <w:rFonts w:ascii="Palatino Linotype" w:hAnsi="Palatino Linotype" w:cs="Calibri"/>
                <w:b/>
                <w:bCs/>
                <w:i/>
                <w:iCs/>
                <w:color w:val="222222"/>
                <w:sz w:val="16"/>
                <w:szCs w:val="16"/>
                <w:lang w:eastAsia="es-AR"/>
              </w:rPr>
              <w:t> </w:t>
            </w:r>
          </w:p>
          <w:p w:rsidR="00A1482F" w:rsidRPr="00A97607" w:rsidRDefault="00A1482F" w:rsidP="00A1482F">
            <w:pPr>
              <w:jc w:val="center"/>
              <w:rPr>
                <w:rFonts w:ascii="Calibri" w:hAnsi="Calibri" w:cs="Calibri"/>
                <w:color w:val="222222"/>
                <w:lang w:eastAsia="es-AR"/>
              </w:rPr>
            </w:pPr>
            <w:r w:rsidRPr="00A97607">
              <w:rPr>
                <w:rFonts w:ascii="Palatino Linotype" w:hAnsi="Palatino Linotype" w:cs="Calibri"/>
                <w:b/>
                <w:bCs/>
                <w:i/>
                <w:iCs/>
                <w:color w:val="222222"/>
                <w:sz w:val="16"/>
                <w:szCs w:val="16"/>
                <w:lang w:eastAsia="es-AR"/>
              </w:rPr>
              <w:t> </w:t>
            </w:r>
          </w:p>
        </w:tc>
        <w:tc>
          <w:tcPr>
            <w:tcW w:w="1650" w:type="pct"/>
            <w:shd w:val="clear" w:color="auto" w:fill="FFFFFF"/>
            <w:tcMar>
              <w:top w:w="0" w:type="dxa"/>
              <w:left w:w="70" w:type="dxa"/>
              <w:bottom w:w="0" w:type="dxa"/>
              <w:right w:w="70" w:type="dxa"/>
            </w:tcMar>
            <w:hideMark/>
          </w:tcPr>
          <w:p w:rsidR="00A1482F" w:rsidRPr="00A97607" w:rsidRDefault="00A1482F" w:rsidP="00A1482F">
            <w:pPr>
              <w:jc w:val="center"/>
              <w:rPr>
                <w:rFonts w:ascii="Calibri" w:hAnsi="Calibri" w:cs="Calibri"/>
                <w:color w:val="222222"/>
                <w:lang w:eastAsia="es-AR"/>
              </w:rPr>
            </w:pPr>
            <w:r w:rsidRPr="00A97607">
              <w:rPr>
                <w:rFonts w:ascii="Palatino Linotype" w:hAnsi="Palatino Linotype" w:cs="Calibri"/>
                <w:b/>
                <w:bCs/>
                <w:i/>
                <w:iCs/>
                <w:color w:val="222222"/>
                <w:sz w:val="16"/>
                <w:szCs w:val="16"/>
                <w:lang w:eastAsia="es-AR"/>
              </w:rPr>
              <w:t xml:space="preserve">Dr. </w:t>
            </w:r>
            <w:r>
              <w:rPr>
                <w:rFonts w:ascii="Palatino Linotype" w:hAnsi="Palatino Linotype" w:cs="Calibri"/>
                <w:b/>
                <w:bCs/>
                <w:i/>
                <w:iCs/>
                <w:color w:val="222222"/>
                <w:sz w:val="16"/>
                <w:szCs w:val="16"/>
                <w:lang w:eastAsia="es-AR"/>
              </w:rPr>
              <w:t>Hugo R. Giménez</w:t>
            </w:r>
          </w:p>
          <w:p w:rsidR="00A1482F" w:rsidRPr="00A97607" w:rsidRDefault="00A1482F" w:rsidP="00A1482F">
            <w:pPr>
              <w:jc w:val="center"/>
              <w:rPr>
                <w:rFonts w:ascii="Calibri" w:hAnsi="Calibri" w:cs="Calibri"/>
                <w:color w:val="222222"/>
                <w:lang w:eastAsia="es-AR"/>
              </w:rPr>
            </w:pPr>
            <w:r w:rsidRPr="00A97607">
              <w:rPr>
                <w:rFonts w:ascii="Palatino Linotype" w:hAnsi="Palatino Linotype" w:cs="Calibri"/>
                <w:b/>
                <w:bCs/>
                <w:i/>
                <w:iCs/>
                <w:color w:val="222222"/>
                <w:sz w:val="16"/>
                <w:szCs w:val="16"/>
                <w:lang w:eastAsia="es-AR"/>
              </w:rPr>
              <w:t>Contador Público</w:t>
            </w:r>
          </w:p>
          <w:p w:rsidR="00A1482F" w:rsidRPr="00A97607" w:rsidRDefault="00A1482F" w:rsidP="00A1482F">
            <w:pPr>
              <w:jc w:val="center"/>
              <w:rPr>
                <w:rFonts w:ascii="Calibri" w:hAnsi="Calibri" w:cs="Calibri"/>
                <w:color w:val="222222"/>
                <w:lang w:eastAsia="es-AR"/>
              </w:rPr>
            </w:pPr>
            <w:r>
              <w:rPr>
                <w:rFonts w:ascii="Palatino Linotype" w:hAnsi="Palatino Linotype" w:cs="Calibri"/>
                <w:b/>
                <w:bCs/>
                <w:i/>
                <w:iCs/>
                <w:color w:val="222222"/>
                <w:sz w:val="16"/>
                <w:szCs w:val="16"/>
                <w:lang w:eastAsia="es-AR"/>
              </w:rPr>
              <w:t>P</w:t>
            </w:r>
            <w:r w:rsidRPr="00A97607">
              <w:rPr>
                <w:rFonts w:ascii="Palatino Linotype" w:hAnsi="Palatino Linotype" w:cs="Calibri"/>
                <w:b/>
                <w:bCs/>
                <w:i/>
                <w:iCs/>
                <w:color w:val="222222"/>
                <w:sz w:val="16"/>
                <w:szCs w:val="16"/>
                <w:lang w:eastAsia="es-AR"/>
              </w:rPr>
              <w:t>residente</w:t>
            </w:r>
            <w:r>
              <w:rPr>
                <w:rFonts w:ascii="Palatino Linotype" w:hAnsi="Palatino Linotype" w:cs="Calibri"/>
                <w:b/>
                <w:bCs/>
                <w:i/>
                <w:iCs/>
                <w:color w:val="222222"/>
                <w:sz w:val="16"/>
                <w:szCs w:val="16"/>
                <w:lang w:eastAsia="es-AR"/>
              </w:rPr>
              <w:t xml:space="preserve"> </w:t>
            </w:r>
          </w:p>
        </w:tc>
      </w:tr>
    </w:tbl>
    <w:p w:rsidR="00A1482F" w:rsidRPr="00C44724" w:rsidRDefault="00A1482F" w:rsidP="00901DE0">
      <w:pPr>
        <w:jc w:val="both"/>
        <w:rPr>
          <w:rFonts w:ascii="Palatino Linotype" w:hAnsi="Palatino Linotype"/>
          <w:b/>
          <w:bCs/>
          <w:i/>
          <w:iCs/>
          <w:sz w:val="16"/>
          <w:szCs w:val="16"/>
          <w:u w:val="single"/>
        </w:rPr>
      </w:pPr>
    </w:p>
    <w:p w:rsidR="003E07C0" w:rsidRPr="00360F77" w:rsidRDefault="003E07C0" w:rsidP="00360F77">
      <w:pPr>
        <w:jc w:val="both"/>
        <w:rPr>
          <w:rFonts w:ascii="Palatino Linotype" w:hAnsi="Palatino Linotype"/>
          <w:i/>
          <w:sz w:val="16"/>
          <w:szCs w:val="16"/>
          <w:lang w:val="es-MX"/>
        </w:rPr>
        <w:sectPr w:rsidR="003E07C0" w:rsidRPr="00360F77" w:rsidSect="003E07C0">
          <w:headerReference w:type="default" r:id="rId8"/>
          <w:type w:val="continuous"/>
          <w:pgSz w:w="11906" w:h="16838"/>
          <w:pgMar w:top="3119" w:right="1701" w:bottom="1985" w:left="1985" w:header="709" w:footer="709" w:gutter="0"/>
          <w:cols w:space="708"/>
          <w:formProt w:val="0"/>
          <w:docGrid w:linePitch="360"/>
        </w:sectPr>
      </w:pPr>
    </w:p>
    <w:p w:rsidR="00755EF5" w:rsidRPr="007422FE" w:rsidRDefault="00755EF5" w:rsidP="007422FE"/>
    <w:sectPr w:rsidR="00755EF5" w:rsidRPr="007422FE" w:rsidSect="007422FE">
      <w:type w:val="continuous"/>
      <w:pgSz w:w="11906" w:h="16838"/>
      <w:pgMar w:top="3119" w:right="1701" w:bottom="1985"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82F" w:rsidRDefault="00A1482F" w:rsidP="00EE0F7B">
      <w:r>
        <w:separator/>
      </w:r>
    </w:p>
  </w:endnote>
  <w:endnote w:type="continuationSeparator" w:id="0">
    <w:p w:rsidR="00A1482F" w:rsidRDefault="00A1482F" w:rsidP="00EE0F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82F" w:rsidRDefault="00A1482F" w:rsidP="00EE0F7B">
      <w:r>
        <w:separator/>
      </w:r>
    </w:p>
  </w:footnote>
  <w:footnote w:type="continuationSeparator" w:id="0">
    <w:p w:rsidR="00A1482F" w:rsidRDefault="00A1482F" w:rsidP="00EE0F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2F" w:rsidRDefault="00A1482F">
    <w:pPr>
      <w:pStyle w:val="Encabezado"/>
    </w:pPr>
    <w:r>
      <w:rPr>
        <w:noProof/>
        <w:lang w:val="es-AR" w:eastAsia="es-AR"/>
      </w:rPr>
      <w:drawing>
        <wp:anchor distT="0" distB="0" distL="114300" distR="114300" simplePos="0" relativeHeight="251657728" behindDoc="1" locked="0" layoutInCell="1" allowOverlap="1">
          <wp:simplePos x="0" y="0"/>
          <wp:positionH relativeFrom="leftMargin">
            <wp:align>left</wp:align>
          </wp:positionH>
          <wp:positionV relativeFrom="topMargin">
            <wp:align>top</wp:align>
          </wp:positionV>
          <wp:extent cx="7563485" cy="10697210"/>
          <wp:effectExtent l="0" t="0" r="0" b="0"/>
          <wp:wrapNone/>
          <wp:docPr id="1" name="Imagen 1" descr="MembreteConsejo_2018_By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mbreteConsejo_2018_ByN-0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563485" cy="1069721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A277F"/>
    <w:multiLevelType w:val="hybridMultilevel"/>
    <w:tmpl w:val="96DC0C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99471E7"/>
    <w:multiLevelType w:val="hybridMultilevel"/>
    <w:tmpl w:val="BB9CDA4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cumentProtection w:edit="forms" w:enforcement="1" w:cryptProviderType="rsaFull" w:cryptAlgorithmClass="hash" w:cryptAlgorithmType="typeAny" w:cryptAlgorithmSid="4" w:cryptSpinCount="100000" w:hash="fUlL6zaUXXVEWCoeOZZ3qmikaLw=" w:salt="AOgAno/PbvRh1IDmD6Z6WQ=="/>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EE0F7B"/>
    <w:rsid w:val="000177F3"/>
    <w:rsid w:val="00030FA1"/>
    <w:rsid w:val="00035009"/>
    <w:rsid w:val="00035618"/>
    <w:rsid w:val="00053295"/>
    <w:rsid w:val="000E152F"/>
    <w:rsid w:val="000E5721"/>
    <w:rsid w:val="000F6934"/>
    <w:rsid w:val="001130DE"/>
    <w:rsid w:val="0013707B"/>
    <w:rsid w:val="0015304E"/>
    <w:rsid w:val="00171296"/>
    <w:rsid w:val="00181382"/>
    <w:rsid w:val="001A25EA"/>
    <w:rsid w:val="00213793"/>
    <w:rsid w:val="00232A74"/>
    <w:rsid w:val="00237A43"/>
    <w:rsid w:val="00247D76"/>
    <w:rsid w:val="0026734F"/>
    <w:rsid w:val="00270C0D"/>
    <w:rsid w:val="003004C0"/>
    <w:rsid w:val="003256BB"/>
    <w:rsid w:val="00343720"/>
    <w:rsid w:val="00347691"/>
    <w:rsid w:val="00360F77"/>
    <w:rsid w:val="003C744F"/>
    <w:rsid w:val="003E07C0"/>
    <w:rsid w:val="003E2284"/>
    <w:rsid w:val="003E4651"/>
    <w:rsid w:val="00414B77"/>
    <w:rsid w:val="004228D1"/>
    <w:rsid w:val="00482291"/>
    <w:rsid w:val="004E4AD5"/>
    <w:rsid w:val="004E5CD5"/>
    <w:rsid w:val="00507361"/>
    <w:rsid w:val="005216EA"/>
    <w:rsid w:val="00540F40"/>
    <w:rsid w:val="00575484"/>
    <w:rsid w:val="005870F9"/>
    <w:rsid w:val="005D2BBD"/>
    <w:rsid w:val="00600820"/>
    <w:rsid w:val="00650ED9"/>
    <w:rsid w:val="006F63C0"/>
    <w:rsid w:val="007122EA"/>
    <w:rsid w:val="0073402A"/>
    <w:rsid w:val="00740901"/>
    <w:rsid w:val="007422FE"/>
    <w:rsid w:val="00755459"/>
    <w:rsid w:val="00755EF5"/>
    <w:rsid w:val="007738B5"/>
    <w:rsid w:val="00787096"/>
    <w:rsid w:val="008119ED"/>
    <w:rsid w:val="00895CFF"/>
    <w:rsid w:val="008B60DE"/>
    <w:rsid w:val="008E47A1"/>
    <w:rsid w:val="008F1D54"/>
    <w:rsid w:val="00901DE0"/>
    <w:rsid w:val="00903D95"/>
    <w:rsid w:val="00904A62"/>
    <w:rsid w:val="009323D0"/>
    <w:rsid w:val="009431C5"/>
    <w:rsid w:val="009807FD"/>
    <w:rsid w:val="00983402"/>
    <w:rsid w:val="009C598C"/>
    <w:rsid w:val="00A1482F"/>
    <w:rsid w:val="00A1665C"/>
    <w:rsid w:val="00A66338"/>
    <w:rsid w:val="00A6706C"/>
    <w:rsid w:val="00A753CE"/>
    <w:rsid w:val="00AA3F83"/>
    <w:rsid w:val="00AB5542"/>
    <w:rsid w:val="00AC466D"/>
    <w:rsid w:val="00AE5AE1"/>
    <w:rsid w:val="00B1021A"/>
    <w:rsid w:val="00B2342E"/>
    <w:rsid w:val="00B37C62"/>
    <w:rsid w:val="00B82EB4"/>
    <w:rsid w:val="00B870FB"/>
    <w:rsid w:val="00BA7A5B"/>
    <w:rsid w:val="00BB0105"/>
    <w:rsid w:val="00BC38AC"/>
    <w:rsid w:val="00BE0402"/>
    <w:rsid w:val="00BE3A87"/>
    <w:rsid w:val="00C27F9E"/>
    <w:rsid w:val="00C37A6A"/>
    <w:rsid w:val="00C774D7"/>
    <w:rsid w:val="00C86CCB"/>
    <w:rsid w:val="00C946BF"/>
    <w:rsid w:val="00CB7B42"/>
    <w:rsid w:val="00CF1449"/>
    <w:rsid w:val="00D0117C"/>
    <w:rsid w:val="00D04BC2"/>
    <w:rsid w:val="00D536AC"/>
    <w:rsid w:val="00D56446"/>
    <w:rsid w:val="00D60498"/>
    <w:rsid w:val="00D73DD5"/>
    <w:rsid w:val="00D9393D"/>
    <w:rsid w:val="00DC7AED"/>
    <w:rsid w:val="00E279C1"/>
    <w:rsid w:val="00E44B22"/>
    <w:rsid w:val="00EA6773"/>
    <w:rsid w:val="00EB37A0"/>
    <w:rsid w:val="00EC6F10"/>
    <w:rsid w:val="00ED1C0C"/>
    <w:rsid w:val="00EE0F7B"/>
    <w:rsid w:val="00EF7C43"/>
    <w:rsid w:val="00F01536"/>
    <w:rsid w:val="00F03E6B"/>
    <w:rsid w:val="00F84697"/>
    <w:rsid w:val="00FA2AD8"/>
    <w:rsid w:val="00FB5278"/>
    <w:rsid w:val="00FB79F6"/>
    <w:rsid w:val="00FC42E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DE0"/>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7122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A166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ar"/>
    <w:uiPriority w:val="9"/>
    <w:semiHidden/>
    <w:unhideWhenUsed/>
    <w:qFormat/>
    <w:rsid w:val="00A1665C"/>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E0F7B"/>
    <w:pPr>
      <w:tabs>
        <w:tab w:val="center" w:pos="4252"/>
        <w:tab w:val="right" w:pos="8504"/>
      </w:tabs>
    </w:pPr>
  </w:style>
  <w:style w:type="character" w:customStyle="1" w:styleId="EncabezadoCar">
    <w:name w:val="Encabezado Car"/>
    <w:basedOn w:val="Fuentedeprrafopredeter"/>
    <w:link w:val="Encabezado"/>
    <w:uiPriority w:val="99"/>
    <w:semiHidden/>
    <w:rsid w:val="00EE0F7B"/>
  </w:style>
  <w:style w:type="paragraph" w:styleId="Piedepgina">
    <w:name w:val="footer"/>
    <w:basedOn w:val="Normal"/>
    <w:link w:val="PiedepginaCar"/>
    <w:uiPriority w:val="99"/>
    <w:semiHidden/>
    <w:unhideWhenUsed/>
    <w:rsid w:val="00EE0F7B"/>
    <w:pPr>
      <w:tabs>
        <w:tab w:val="center" w:pos="4252"/>
        <w:tab w:val="right" w:pos="8504"/>
      </w:tabs>
    </w:pPr>
  </w:style>
  <w:style w:type="character" w:customStyle="1" w:styleId="PiedepginaCar">
    <w:name w:val="Pie de página Car"/>
    <w:basedOn w:val="Fuentedeprrafopredeter"/>
    <w:link w:val="Piedepgina"/>
    <w:uiPriority w:val="99"/>
    <w:semiHidden/>
    <w:rsid w:val="00EE0F7B"/>
  </w:style>
  <w:style w:type="character" w:customStyle="1" w:styleId="Ttulo1Car">
    <w:name w:val="Título 1 Car"/>
    <w:basedOn w:val="Fuentedeprrafopredeter"/>
    <w:link w:val="Ttulo1"/>
    <w:uiPriority w:val="9"/>
    <w:rsid w:val="007122E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A1665C"/>
    <w:rPr>
      <w:rFonts w:asciiTheme="majorHAnsi" w:eastAsiaTheme="majorEastAsia" w:hAnsiTheme="majorHAnsi" w:cstheme="majorBidi"/>
      <w:color w:val="365F91" w:themeColor="accent1" w:themeShade="BF"/>
      <w:sz w:val="26"/>
      <w:szCs w:val="26"/>
    </w:rPr>
  </w:style>
  <w:style w:type="character" w:customStyle="1" w:styleId="Ttulo6Car">
    <w:name w:val="Título 6 Car"/>
    <w:basedOn w:val="Fuentedeprrafopredeter"/>
    <w:link w:val="Ttulo6"/>
    <w:uiPriority w:val="9"/>
    <w:semiHidden/>
    <w:rsid w:val="00A1665C"/>
    <w:rPr>
      <w:rFonts w:asciiTheme="majorHAnsi" w:eastAsiaTheme="majorEastAsia" w:hAnsiTheme="majorHAnsi" w:cstheme="majorBidi"/>
      <w:color w:val="243F60" w:themeColor="accent1" w:themeShade="7F"/>
    </w:rPr>
  </w:style>
  <w:style w:type="paragraph" w:styleId="Sangradetextonormal">
    <w:name w:val="Body Text Indent"/>
    <w:basedOn w:val="Normal"/>
    <w:link w:val="SangradetextonormalCar"/>
    <w:semiHidden/>
    <w:unhideWhenUsed/>
    <w:rsid w:val="00A1665C"/>
    <w:pPr>
      <w:ind w:firstLine="4395"/>
      <w:jc w:val="both"/>
    </w:pPr>
    <w:rPr>
      <w:rFonts w:ascii="Palatino Linotype" w:hAnsi="Palatino Linotype"/>
      <w:i/>
      <w:lang w:val="es-ES"/>
    </w:rPr>
  </w:style>
  <w:style w:type="character" w:customStyle="1" w:styleId="SangradetextonormalCar">
    <w:name w:val="Sangría de texto normal Car"/>
    <w:basedOn w:val="Fuentedeprrafopredeter"/>
    <w:link w:val="Sangradetextonormal"/>
    <w:semiHidden/>
    <w:rsid w:val="00A1665C"/>
    <w:rPr>
      <w:rFonts w:ascii="Palatino Linotype" w:eastAsia="Times New Roman" w:hAnsi="Palatino Linotype" w:cs="Times New Roman"/>
      <w:i/>
      <w:sz w:val="20"/>
      <w:szCs w:val="20"/>
      <w:lang w:val="es-ES" w:eastAsia="es-ES"/>
    </w:rPr>
  </w:style>
  <w:style w:type="paragraph" w:styleId="Textodeglobo">
    <w:name w:val="Balloon Text"/>
    <w:basedOn w:val="Normal"/>
    <w:link w:val="TextodegloboCar"/>
    <w:uiPriority w:val="99"/>
    <w:semiHidden/>
    <w:unhideWhenUsed/>
    <w:rsid w:val="00A166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665C"/>
    <w:rPr>
      <w:rFonts w:ascii="Segoe UI" w:hAnsi="Segoe UI" w:cs="Segoe UI"/>
      <w:sz w:val="18"/>
      <w:szCs w:val="18"/>
    </w:rPr>
  </w:style>
  <w:style w:type="paragraph" w:styleId="Sangra3detindependiente">
    <w:name w:val="Body Text Indent 3"/>
    <w:basedOn w:val="Normal"/>
    <w:link w:val="Sangra3detindependienteCar"/>
    <w:uiPriority w:val="99"/>
    <w:semiHidden/>
    <w:unhideWhenUsed/>
    <w:rsid w:val="003C744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C744F"/>
    <w:rPr>
      <w:sz w:val="16"/>
      <w:szCs w:val="16"/>
    </w:rPr>
  </w:style>
  <w:style w:type="paragraph" w:styleId="Prrafodelista">
    <w:name w:val="List Paragraph"/>
    <w:basedOn w:val="Normal"/>
    <w:uiPriority w:val="34"/>
    <w:qFormat/>
    <w:rsid w:val="00C37A6A"/>
    <w:pPr>
      <w:spacing w:after="160" w:line="259" w:lineRule="auto"/>
      <w:ind w:left="720"/>
      <w:contextualSpacing/>
    </w:pPr>
    <w:rPr>
      <w:lang w:val="es-ES"/>
    </w:rPr>
  </w:style>
  <w:style w:type="character" w:styleId="Textoennegrita">
    <w:name w:val="Strong"/>
    <w:qFormat/>
    <w:rsid w:val="00901DE0"/>
    <w:rPr>
      <w:b/>
      <w:bCs/>
    </w:rPr>
  </w:style>
  <w:style w:type="paragraph" w:styleId="NormalWeb">
    <w:name w:val="Normal (Web)"/>
    <w:basedOn w:val="Normal"/>
    <w:rsid w:val="00901DE0"/>
    <w:pPr>
      <w:spacing w:before="100" w:beforeAutospacing="1" w:after="100" w:afterAutospacing="1"/>
    </w:pPr>
    <w:rPr>
      <w:rFonts w:ascii="Arial" w:eastAsia="Arial Unicode MS" w:hAnsi="Arial" w:cs="Arial"/>
      <w:color w:val="000000"/>
      <w:lang w:val="es-ES"/>
    </w:rPr>
  </w:style>
  <w:style w:type="paragraph" w:customStyle="1" w:styleId="Default">
    <w:name w:val="Default"/>
    <w:rsid w:val="00901DE0"/>
    <w:pPr>
      <w:autoSpaceDE w:val="0"/>
      <w:autoSpaceDN w:val="0"/>
      <w:adjustRightInd w:val="0"/>
      <w:spacing w:after="0" w:line="240" w:lineRule="auto"/>
    </w:pPr>
    <w:rPr>
      <w:rFonts w:ascii="Arial" w:eastAsia="Times New Roman" w:hAnsi="Arial" w:cs="Arial"/>
      <w:color w:val="000000"/>
      <w:sz w:val="24"/>
      <w:szCs w:val="24"/>
      <w:lang w:eastAsia="es-AR"/>
    </w:rPr>
  </w:style>
</w:styles>
</file>

<file path=word/webSettings.xml><?xml version="1.0" encoding="utf-8"?>
<w:webSettings xmlns:r="http://schemas.openxmlformats.org/officeDocument/2006/relationships" xmlns:w="http://schemas.openxmlformats.org/wordprocessingml/2006/main">
  <w:divs>
    <w:div w:id="1229658121">
      <w:bodyDiv w:val="1"/>
      <w:marLeft w:val="0"/>
      <w:marRight w:val="0"/>
      <w:marTop w:val="0"/>
      <w:marBottom w:val="0"/>
      <w:divBdr>
        <w:top w:val="none" w:sz="0" w:space="0" w:color="auto"/>
        <w:left w:val="none" w:sz="0" w:space="0" w:color="auto"/>
        <w:bottom w:val="none" w:sz="0" w:space="0" w:color="auto"/>
        <w:right w:val="none" w:sz="0" w:space="0" w:color="auto"/>
      </w:divBdr>
    </w:div>
    <w:div w:id="20054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845F5-2839-444B-A710-B44AE7D8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1520</Words>
  <Characters>8361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CPBA</Company>
  <LinksUpToDate>false</LinksUpToDate>
  <CharactersWithSpaces>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Ciglia Lelli</dc:creator>
  <cp:lastModifiedBy>Usuario de Windows</cp:lastModifiedBy>
  <cp:revision>2</cp:revision>
  <cp:lastPrinted>2023-12-26T14:04:00Z</cp:lastPrinted>
  <dcterms:created xsi:type="dcterms:W3CDTF">2023-12-26T14:11:00Z</dcterms:created>
  <dcterms:modified xsi:type="dcterms:W3CDTF">2023-12-26T14:11:00Z</dcterms:modified>
</cp:coreProperties>
</file>